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0C2712"/>
          <w:sz w:val="44"/>
          <w:szCs w:val="44"/>
        </w:rPr>
        <w:t xml:space="preserve">Contractor Access Policy</w:t>
      </w:r>
    </w:p>
    <w:p>
      <w:pPr>
        <w:spacing w:after="200"/>
      </w:pPr>
      <w:r>
        <w:rPr>
          <w:rFonts w:ascii="Calibri" w:cs="Calibri" w:eastAsia="Calibri" w:hAnsi="Calibri"/>
          <w:color w:val="53655A"/>
          <w:sz w:val="22"/>
          <w:szCs w:val="22"/>
        </w:rPr>
        <w:t xml:space="preserve">Template for contract engineers in regulated codebases. Replace every shaded [field].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c>
          <w:tcPr>
            <w:tcW w:type="dxa" w:w="2700"/>
            <w:tcBorders>
              <w:top w:val="single" w:color="B9CAD3" w:sz="4"/>
              <w:left w:val="single" w:color="B9CAD3" w:sz="4"/>
              <w:bottom w:val="single" w:color="B9CAD3" w:sz="4"/>
              <w:right w:val="single" w:color="B9CAD3" w:sz="4"/>
            </w:tcBorders>
            <w:shd w:fill="EDF2F5" w:color="auto" w:val="clear"/>
            <w:tcMar>
              <w:top w:type="dxa" w:w="80"/>
              <w:left w:type="dxa" w:w="110"/>
              <w:bottom w:type="dxa" w:w="80"/>
              <w:right w:type="dxa" w:w="110"/>
            </w:tcMar>
          </w:tcPr>
          <w:p>
            <w:r>
              <w:rPr>
                <w:rFonts w:ascii="Calibri" w:cs="Calibri" w:eastAsia="Calibri" w:hAnsi="Calibri"/>
                <w:b/>
                <w:bCs/>
                <w:color w:val="0C2712"/>
                <w:sz w:val="20"/>
                <w:szCs w:val="20"/>
              </w:rPr>
              <w:t xml:space="preserve">Applies to</w:t>
            </w:r>
          </w:p>
        </w:tc>
        <w:tc>
          <w:tcPr>
            <w:tcW w:type="dxa" w:w="6660"/>
            <w:tcBorders>
              <w:top w:val="single" w:color="B9CAD3" w:sz="4"/>
              <w:left w:val="single" w:color="B9CAD3" w:sz="4"/>
              <w:bottom w:val="single" w:color="B9CAD3" w:sz="4"/>
              <w:right w:val="single" w:color="B9CAD3" w:sz="4"/>
            </w:tcBorders>
            <w:tcMar>
              <w:top w:type="dxa" w:w="80"/>
              <w:left w:type="dxa" w:w="110"/>
              <w:bottom w:type="dxa" w:w="80"/>
              <w:right w:type="dxa" w:w="110"/>
            </w:tcMar>
          </w:tcPr>
          <w:p>
            <w:r>
              <w:rPr>
                <w:rFonts w:ascii="Calibri" w:cs="Calibri" w:eastAsia="Calibri" w:hAnsi="Calibri"/>
                <w:color w:val="0C2712"/>
                <w:sz w:val="22"/>
                <w:szCs w:val="22"/>
                <w:shd w:fill="DCEBD8" w:color="auto" w:val="clear"/>
              </w:rPr>
              <w:t xml:space="preserve">[Company name]</w:t>
            </w:r>
            <w:r>
              <w:rPr>
                <w:rFonts w:ascii="Calibri" w:cs="Calibri" w:eastAsia="Calibri" w:hAnsi="Calibri"/>
                <w:sz w:val="22"/>
                <w:szCs w:val="22"/>
              </w:rPr>
              <w:t xml:space="preserve"> and these codebases and environments: </w:t>
            </w:r>
            <w:r>
              <w:rPr>
                <w:rFonts w:ascii="Calibri" w:cs="Calibri" w:eastAsia="Calibri" w:hAnsi="Calibri"/>
                <w:color w:val="0C2712"/>
                <w:sz w:val="22"/>
                <w:szCs w:val="22"/>
                <w:shd w:fill="DCEBD8" w:color="auto" w:val="clear"/>
              </w:rPr>
              <w:t xml:space="preserve">[list them]</w:t>
            </w:r>
          </w:p>
        </w:tc>
      </w:tr>
      <w:tr>
        <w:tc>
          <w:tcPr>
            <w:tcW w:type="dxa" w:w="2700"/>
            <w:tcBorders>
              <w:top w:val="single" w:color="B9CAD3" w:sz="4"/>
              <w:left w:val="single" w:color="B9CAD3" w:sz="4"/>
              <w:bottom w:val="single" w:color="B9CAD3" w:sz="4"/>
              <w:right w:val="single" w:color="B9CAD3" w:sz="4"/>
            </w:tcBorders>
            <w:shd w:fill="EDF2F5" w:color="auto" w:val="clear"/>
            <w:tcMar>
              <w:top w:type="dxa" w:w="80"/>
              <w:left w:type="dxa" w:w="110"/>
              <w:bottom w:type="dxa" w:w="80"/>
              <w:right w:type="dxa" w:w="110"/>
            </w:tcMar>
          </w:tcPr>
          <w:p>
            <w:r>
              <w:rPr>
                <w:rFonts w:ascii="Calibri" w:cs="Calibri" w:eastAsia="Calibri" w:hAnsi="Calibri"/>
                <w:b/>
                <w:bCs/>
                <w:color w:val="0C2712"/>
                <w:sz w:val="20"/>
                <w:szCs w:val="20"/>
              </w:rPr>
              <w:t xml:space="preserve">Policy owner</w:t>
            </w:r>
          </w:p>
        </w:tc>
        <w:tc>
          <w:tcPr>
            <w:tcW w:type="dxa" w:w="6660"/>
            <w:tcBorders>
              <w:top w:val="single" w:color="B9CAD3" w:sz="4"/>
              <w:left w:val="single" w:color="B9CAD3" w:sz="4"/>
              <w:bottom w:val="single" w:color="B9CAD3" w:sz="4"/>
              <w:right w:val="single" w:color="B9CAD3" w:sz="4"/>
            </w:tcBorders>
            <w:tcMar>
              <w:top w:type="dxa" w:w="80"/>
              <w:left w:type="dxa" w:w="110"/>
              <w:bottom w:type="dxa" w:w="80"/>
              <w:right w:type="dxa" w:w="110"/>
            </w:tcMar>
          </w:tcPr>
          <w:p>
            <w:r>
              <w:rPr>
                <w:rFonts w:ascii="Calibri" w:cs="Calibri" w:eastAsia="Calibri" w:hAnsi="Calibri"/>
                <w:color w:val="0C2712"/>
                <w:sz w:val="22"/>
                <w:szCs w:val="22"/>
                <w:shd w:fill="DCEBD8" w:color="auto" w:val="clear"/>
              </w:rPr>
              <w:t xml:space="preserve">[VP Engineering, CTO or CISO]</w:t>
            </w:r>
          </w:p>
        </w:tc>
      </w:tr>
      <w:tr>
        <w:tc>
          <w:tcPr>
            <w:tcW w:type="dxa" w:w="2700"/>
            <w:tcBorders>
              <w:top w:val="single" w:color="B9CAD3" w:sz="4"/>
              <w:left w:val="single" w:color="B9CAD3" w:sz="4"/>
              <w:bottom w:val="single" w:color="B9CAD3" w:sz="4"/>
              <w:right w:val="single" w:color="B9CAD3" w:sz="4"/>
            </w:tcBorders>
            <w:shd w:fill="EDF2F5" w:color="auto" w:val="clear"/>
            <w:tcMar>
              <w:top w:type="dxa" w:w="80"/>
              <w:left w:type="dxa" w:w="110"/>
              <w:bottom w:type="dxa" w:w="80"/>
              <w:right w:type="dxa" w:w="110"/>
            </w:tcMar>
          </w:tcPr>
          <w:p>
            <w:r>
              <w:rPr>
                <w:rFonts w:ascii="Calibri" w:cs="Calibri" w:eastAsia="Calibri" w:hAnsi="Calibri"/>
                <w:b/>
                <w:bCs/>
                <w:color w:val="0C2712"/>
                <w:sz w:val="20"/>
                <w:szCs w:val="20"/>
              </w:rPr>
              <w:t xml:space="preserve">Version and effective date</w:t>
            </w:r>
          </w:p>
        </w:tc>
        <w:tc>
          <w:tcPr>
            <w:tcW w:type="dxa" w:w="6660"/>
            <w:tcBorders>
              <w:top w:val="single" w:color="B9CAD3" w:sz="4"/>
              <w:left w:val="single" w:color="B9CAD3" w:sz="4"/>
              <w:bottom w:val="single" w:color="B9CAD3" w:sz="4"/>
              <w:right w:val="single" w:color="B9CAD3" w:sz="4"/>
            </w:tcBorders>
            <w:tcMar>
              <w:top w:type="dxa" w:w="80"/>
              <w:left w:type="dxa" w:w="110"/>
              <w:bottom w:type="dxa" w:w="80"/>
              <w:right w:type="dxa" w:w="110"/>
            </w:tcMar>
          </w:tcPr>
          <w:p>
            <w:r>
              <w:rPr>
                <w:rFonts w:ascii="Calibri" w:cs="Calibri" w:eastAsia="Calibri" w:hAnsi="Calibri"/>
                <w:color w:val="0C2712"/>
                <w:sz w:val="22"/>
                <w:szCs w:val="22"/>
                <w:shd w:fill="DCEBD8" w:color="auto" w:val="clear"/>
              </w:rPr>
              <w:t xml:space="preserve">[1.0]</w:t>
            </w:r>
            <w:r>
              <w:rPr>
                <w:rFonts w:ascii="Calibri" w:cs="Calibri" w:eastAsia="Calibri" w:hAnsi="Calibri"/>
                <w:sz w:val="22"/>
                <w:szCs w:val="22"/>
              </w:rPr>
              <w:t xml:space="preserve">, </w:t>
            </w:r>
            <w:r>
              <w:rPr>
                <w:rFonts w:ascii="Calibri" w:cs="Calibri" w:eastAsia="Calibri" w:hAnsi="Calibri"/>
                <w:color w:val="0C2712"/>
                <w:sz w:val="22"/>
                <w:szCs w:val="22"/>
                <w:shd w:fill="DCEBD8" w:color="auto" w:val="clear"/>
              </w:rPr>
              <w:t xml:space="preserve">[date]</w:t>
            </w:r>
          </w:p>
        </w:tc>
      </w:tr>
      <w:tr>
        <w:tc>
          <w:tcPr>
            <w:tcW w:type="dxa" w:w="2700"/>
            <w:tcBorders>
              <w:top w:val="single" w:color="B9CAD3" w:sz="4"/>
              <w:left w:val="single" w:color="B9CAD3" w:sz="4"/>
              <w:bottom w:val="single" w:color="B9CAD3" w:sz="4"/>
              <w:right w:val="single" w:color="B9CAD3" w:sz="4"/>
            </w:tcBorders>
            <w:shd w:fill="EDF2F5" w:color="auto" w:val="clear"/>
            <w:tcMar>
              <w:top w:type="dxa" w:w="80"/>
              <w:left w:type="dxa" w:w="110"/>
              <w:bottom w:type="dxa" w:w="80"/>
              <w:right w:type="dxa" w:w="110"/>
            </w:tcMar>
          </w:tcPr>
          <w:p>
            <w:r>
              <w:rPr>
                <w:rFonts w:ascii="Calibri" w:cs="Calibri" w:eastAsia="Calibri" w:hAnsi="Calibri"/>
                <w:b/>
                <w:bCs/>
                <w:color w:val="0C2712"/>
                <w:sz w:val="20"/>
                <w:szCs w:val="20"/>
              </w:rPr>
              <w:t xml:space="preserve">Next review</w:t>
            </w:r>
          </w:p>
        </w:tc>
        <w:tc>
          <w:tcPr>
            <w:tcW w:type="dxa" w:w="6660"/>
            <w:tcBorders>
              <w:top w:val="single" w:color="B9CAD3" w:sz="4"/>
              <w:left w:val="single" w:color="B9CAD3" w:sz="4"/>
              <w:bottom w:val="single" w:color="B9CAD3" w:sz="4"/>
              <w:right w:val="single" w:color="B9CAD3" w:sz="4"/>
            </w:tcBorders>
            <w:tcMar>
              <w:top w:type="dxa" w:w="80"/>
              <w:left w:type="dxa" w:w="110"/>
              <w:bottom w:type="dxa" w:w="80"/>
              <w:right w:type="dxa" w:w="110"/>
            </w:tcMar>
          </w:tcPr>
          <w:p>
            <w:r>
              <w:rPr>
                <w:rFonts w:ascii="Calibri" w:cs="Calibri" w:eastAsia="Calibri" w:hAnsi="Calibri"/>
                <w:color w:val="0C2712"/>
                <w:sz w:val="22"/>
                <w:szCs w:val="22"/>
                <w:shd w:fill="DCEBD8" w:color="auto" w:val="clear"/>
              </w:rPr>
              <w:t xml:space="preserve">[six months after the effective date]</w:t>
            </w:r>
          </w:p>
        </w:tc>
      </w:tr>
    </w:tbl>
    <w:p>
      <w:pPr>
        <w:spacing w:after="120"/>
      </w:pPr>
    </w:p>
    <w:p>
      <w:pPr>
        <w:pStyle w:val="Heading1"/>
        <w:keepNext/>
        <w:spacing w:after="60" w:before="320"/>
      </w:pPr>
      <w:r>
        <w:rPr>
          <w:rFonts w:ascii="Calibri" w:cs="Calibri" w:eastAsia="Calibri" w:hAnsi="Calibri"/>
          <w:b/>
          <w:bCs/>
          <w:color w:val="0C2712"/>
          <w:sz w:val="30"/>
          <w:szCs w:val="30"/>
        </w:rPr>
        <w:t xml:space="preserve">1. Scope and roles</w:t>
      </w:r>
    </w:p>
    <w:p>
      <w:pPr>
        <w:keepNext/>
        <w:pBdr>
          <w:bottom w:val="single" w:color="0C2712" w:sz="6"/>
        </w:pBdr>
        <w:spacing w:after="140"/>
      </w:pPr>
      <w:r>
        <w:rPr>
          <w:rFonts w:ascii="Calibri" w:cs="Calibri" w:eastAsia="Calibri" w:hAnsi="Calibri"/>
          <w:i/>
          <w:iCs/>
          <w:color w:val="53655A"/>
          <w:sz w:val="18"/>
          <w:szCs w:val="18"/>
        </w:rPr>
        <w:t xml:space="preserve">Maps to SOC 2 CC6.2. GLBA 16 CFR 314.4(c)(1) and (f)</w:t>
      </w:r>
    </w:p>
    <w:p>
      <w:pPr>
        <w:keepNext w:val="false"/>
        <w:spacing w:after="120" w:line="288"/>
      </w:pPr>
      <w:r>
        <w:rPr>
          <w:rFonts w:ascii="Calibri" w:cs="Calibri" w:eastAsia="Calibri" w:hAnsi="Calibri"/>
          <w:b/>
          <w:bCs/>
          <w:color w:val="53655A"/>
          <w:sz w:val="22"/>
          <w:szCs w:val="22"/>
        </w:rPr>
        <w:t xml:space="preserve">1.1  </w:t>
      </w:r>
      <w:r>
        <w:rPr>
          <w:rFonts w:ascii="Calibri" w:cs="Calibri" w:eastAsia="Calibri" w:hAnsi="Calibri"/>
          <w:b/>
          <w:bCs/>
          <w:color w:val="0C2712"/>
          <w:sz w:val="22"/>
          <w:szCs w:val="22"/>
        </w:rPr>
        <w:t xml:space="preserve">Scope. </w:t>
      </w:r>
      <w:r>
        <w:rPr>
          <w:rFonts w:ascii="Calibri" w:cs="Calibri" w:eastAsia="Calibri" w:hAnsi="Calibri"/>
          <w:sz w:val="22"/>
          <w:szCs w:val="22"/>
        </w:rPr>
        <w:t xml:space="preserve">This policy covers anyone who is not an employee of </w:t>
      </w:r>
      <w:r>
        <w:rPr>
          <w:rFonts w:ascii="Calibri" w:cs="Calibri" w:eastAsia="Calibri" w:hAnsi="Calibri"/>
          <w:color w:val="0C2712"/>
          <w:sz w:val="22"/>
          <w:szCs w:val="22"/>
          <w:shd w:fill="DCEBD8" w:color="auto" w:val="clear"/>
        </w:rPr>
        <w:t xml:space="preserve">[Company name]</w:t>
      </w:r>
      <w:r>
        <w:rPr>
          <w:rFonts w:ascii="Calibri" w:cs="Calibri" w:eastAsia="Calibri" w:hAnsi="Calibri"/>
          <w:sz w:val="22"/>
          <w:szCs w:val="22"/>
        </w:rPr>
        <w:t xml:space="preserve"> and holds a credential to its systems, source code or data, including contract engineers, contract-to-hire engineers, statement-of-work staff and subcontractors, however they are paid and whoever employs them. Everyone counts.</w:t>
      </w:r>
    </w:p>
    <w:p>
      <w:pPr>
        <w:keepNext w:val="false"/>
        <w:spacing w:after="120" w:line="288"/>
      </w:pPr>
      <w:r>
        <w:rPr>
          <w:rFonts w:ascii="Calibri" w:cs="Calibri" w:eastAsia="Calibri" w:hAnsi="Calibri"/>
          <w:b/>
          <w:bCs/>
          <w:color w:val="53655A"/>
          <w:sz w:val="22"/>
          <w:szCs w:val="22"/>
        </w:rPr>
        <w:t xml:space="preserve">1.2  </w:t>
      </w:r>
      <w:r>
        <w:rPr>
          <w:rFonts w:ascii="Calibri" w:cs="Calibri" w:eastAsia="Calibri" w:hAnsi="Calibri"/>
          <w:b/>
          <w:bCs/>
          <w:color w:val="0C2712"/>
          <w:sz w:val="22"/>
          <w:szCs w:val="22"/>
        </w:rPr>
        <w:t xml:space="preserve">The request is the record. </w:t>
      </w:r>
      <w:r>
        <w:rPr>
          <w:rFonts w:ascii="Calibri" w:cs="Calibri" w:eastAsia="Calibri" w:hAnsi="Calibri"/>
          <w:sz w:val="22"/>
          <w:szCs w:val="22"/>
        </w:rPr>
        <w:t xml:space="preserve">Every grant of access starts with a request ticket and ends with a closed one. No ticket, no access. The ticket names the person, the engagement, the end date, the tier and the approvers.</w:t>
      </w:r>
    </w:p>
    <w:p>
      <w:pPr>
        <w:keepNext/>
        <w:spacing w:after="80" w:line="288"/>
      </w:pPr>
      <w:r>
        <w:rPr>
          <w:rFonts w:ascii="Calibri" w:cs="Calibri" w:eastAsia="Calibri" w:hAnsi="Calibri"/>
          <w:b/>
          <w:bCs/>
          <w:color w:val="53655A"/>
          <w:sz w:val="22"/>
          <w:szCs w:val="22"/>
        </w:rPr>
        <w:t xml:space="preserve">1.3  </w:t>
      </w:r>
      <w:r>
        <w:rPr>
          <w:rFonts w:ascii="Calibri" w:cs="Calibri" w:eastAsia="Calibri" w:hAnsi="Calibri"/>
          <w:b/>
          <w:bCs/>
          <w:color w:val="0C2712"/>
          <w:sz w:val="22"/>
          <w:szCs w:val="22"/>
        </w:rPr>
        <w:t xml:space="preserve">Roles. </w:t>
      </w:r>
    </w:p>
    <w:p>
      <w:pPr>
        <w:spacing w:after="80" w:line="288"/>
        <w:ind w:left="360"/>
      </w:pPr>
      <w:r>
        <w:rPr>
          <w:rFonts w:ascii="Calibri" w:cs="Calibri" w:eastAsia="Calibri" w:hAnsi="Calibri"/>
        </w:rPr>
        <w:t xml:space="preserve"/>
      </w:r>
      <w:r>
        <w:rPr>
          <w:rFonts w:ascii="Calibri" w:cs="Calibri" w:eastAsia="Calibri" w:hAnsi="Calibri"/>
          <w:b/>
          <w:bCs/>
          <w:color w:val="0C2712"/>
          <w:sz w:val="22"/>
          <w:szCs w:val="22"/>
        </w:rPr>
        <w:t xml:space="preserve">Policy owner </w:t>
      </w:r>
      <w:r>
        <w:rPr>
          <w:rFonts w:ascii="Calibri" w:cs="Calibri" w:eastAsia="Calibri" w:hAnsi="Calibri"/>
          <w:b/>
          <w:bCs/>
          <w:color w:val="0C2712"/>
          <w:sz w:val="22"/>
          <w:szCs w:val="22"/>
          <w:shd w:fill="DCEBD8" w:color="auto" w:val="clear"/>
        </w:rPr>
        <w:t xml:space="preserve">[VP Engineering, CTO or CISO]</w:t>
      </w:r>
      <w:r>
        <w:rPr>
          <w:rFonts w:ascii="Calibri" w:cs="Calibri" w:eastAsia="Calibri" w:hAnsi="Calibri"/>
          <w:b/>
          <w:bCs/>
          <w:color w:val="0C2712"/>
          <w:sz w:val="22"/>
          <w:szCs w:val="22"/>
        </w:rPr>
        <w:t xml:space="preserve">.</w:t>
      </w:r>
      <w:r>
        <w:rPr>
          <w:rFonts w:ascii="Calibri" w:cs="Calibri" w:eastAsia="Calibri" w:hAnsi="Calibri"/>
        </w:rPr>
        <w:t xml:space="preserve"> </w:t>
      </w:r>
      <w:r>
        <w:rPr>
          <w:rFonts w:ascii="Calibri" w:cs="Calibri" w:eastAsia="Calibri" w:hAnsi="Calibri"/>
          <w:sz w:val="22"/>
          <w:szCs w:val="22"/>
        </w:rPr>
        <w:t xml:space="preserve">Owns this document, approves exceptions and runs the review.</w:t>
      </w:r>
    </w:p>
    <w:p>
      <w:pPr>
        <w:spacing w:after="80" w:line="288"/>
        <w:ind w:left="360"/>
      </w:pPr>
      <w:r>
        <w:rPr>
          <w:rFonts w:ascii="Calibri" w:cs="Calibri" w:eastAsia="Calibri" w:hAnsi="Calibri"/>
        </w:rPr>
        <w:t xml:space="preserve"/>
      </w:r>
      <w:r>
        <w:rPr>
          <w:rFonts w:ascii="Calibri" w:cs="Calibri" w:eastAsia="Calibri" w:hAnsi="Calibri"/>
          <w:b/>
          <w:bCs/>
          <w:color w:val="0C2712"/>
          <w:sz w:val="22"/>
          <w:szCs w:val="22"/>
        </w:rPr>
        <w:t xml:space="preserve">Access approver </w:t>
      </w:r>
      <w:r>
        <w:rPr>
          <w:rFonts w:ascii="Calibri" w:cs="Calibri" w:eastAsia="Calibri" w:hAnsi="Calibri"/>
          <w:b/>
          <w:bCs/>
          <w:color w:val="0C2712"/>
          <w:sz w:val="22"/>
          <w:szCs w:val="22"/>
          <w:shd w:fill="DCEBD8" w:color="auto" w:val="clear"/>
        </w:rPr>
        <w:t xml:space="preserve">[hiring manager]</w:t>
      </w:r>
      <w:r>
        <w:rPr>
          <w:rFonts w:ascii="Calibri" w:cs="Calibri" w:eastAsia="Calibri" w:hAnsi="Calibri"/>
          <w:b/>
          <w:bCs/>
          <w:color w:val="0C2712"/>
          <w:sz w:val="22"/>
          <w:szCs w:val="22"/>
        </w:rPr>
        <w:t xml:space="preserve">.</w:t>
      </w:r>
      <w:r>
        <w:rPr>
          <w:rFonts w:ascii="Calibri" w:cs="Calibri" w:eastAsia="Calibri" w:hAnsi="Calibri"/>
        </w:rPr>
        <w:t xml:space="preserve"> </w:t>
      </w:r>
      <w:r>
        <w:rPr>
          <w:rFonts w:ascii="Calibri" w:cs="Calibri" w:eastAsia="Calibri" w:hAnsi="Calibri"/>
          <w:sz w:val="22"/>
          <w:szCs w:val="22"/>
        </w:rPr>
        <w:t xml:space="preserve">Names the first ticket, requests each tier change and answers for what the contractor can touch.</w:t>
      </w:r>
    </w:p>
    <w:p>
      <w:pPr>
        <w:spacing w:after="80" w:line="288"/>
        <w:ind w:left="360"/>
      </w:pPr>
      <w:r>
        <w:rPr>
          <w:rFonts w:ascii="Calibri" w:cs="Calibri" w:eastAsia="Calibri" w:hAnsi="Calibri"/>
        </w:rPr>
        <w:t xml:space="preserve"/>
      </w:r>
      <w:r>
        <w:rPr>
          <w:rFonts w:ascii="Calibri" w:cs="Calibri" w:eastAsia="Calibri" w:hAnsi="Calibri"/>
          <w:b/>
          <w:bCs/>
          <w:color w:val="0C2712"/>
          <w:sz w:val="22"/>
          <w:szCs w:val="22"/>
        </w:rPr>
        <w:t xml:space="preserve">Second reviewer </w:t>
      </w:r>
      <w:r>
        <w:rPr>
          <w:rFonts w:ascii="Calibri" w:cs="Calibri" w:eastAsia="Calibri" w:hAnsi="Calibri"/>
          <w:b/>
          <w:bCs/>
          <w:color w:val="0C2712"/>
          <w:sz w:val="22"/>
          <w:szCs w:val="22"/>
          <w:shd w:fill="DCEBD8" w:color="auto" w:val="clear"/>
        </w:rPr>
        <w:t xml:space="preserve">[security lead, platform lead or a senior engineer]</w:t>
      </w:r>
      <w:r>
        <w:rPr>
          <w:rFonts w:ascii="Calibri" w:cs="Calibri" w:eastAsia="Calibri" w:hAnsi="Calibri"/>
          <w:b/>
          <w:bCs/>
          <w:color w:val="0C2712"/>
          <w:sz w:val="22"/>
          <w:szCs w:val="22"/>
        </w:rPr>
        <w:t xml:space="preserve">.</w:t>
      </w:r>
      <w:r>
        <w:rPr>
          <w:rFonts w:ascii="Calibri" w:cs="Calibri" w:eastAsia="Calibri" w:hAnsi="Calibri"/>
        </w:rPr>
        <w:t xml:space="preserve"> </w:t>
      </w:r>
      <w:r>
        <w:rPr>
          <w:rFonts w:ascii="Calibri" w:cs="Calibri" w:eastAsia="Calibri" w:hAnsi="Calibri"/>
          <w:sz w:val="22"/>
          <w:szCs w:val="22"/>
        </w:rPr>
        <w:t xml:space="preserve">Countersigns tier 2 and above and every exception. Never the same person as the access approver.</w:t>
      </w:r>
    </w:p>
    <w:p>
      <w:pPr>
        <w:spacing w:after="80" w:line="288"/>
        <w:ind w:left="360"/>
      </w:pPr>
      <w:r>
        <w:rPr>
          <w:rFonts w:ascii="Calibri" w:cs="Calibri" w:eastAsia="Calibri" w:hAnsi="Calibri"/>
        </w:rPr>
        <w:t xml:space="preserve"/>
      </w:r>
      <w:r>
        <w:rPr>
          <w:rFonts w:ascii="Calibri" w:cs="Calibri" w:eastAsia="Calibri" w:hAnsi="Calibri"/>
          <w:b/>
          <w:bCs/>
          <w:color w:val="0C2712"/>
          <w:sz w:val="22"/>
          <w:szCs w:val="22"/>
        </w:rPr>
        <w:t xml:space="preserve">Contractor.</w:t>
      </w:r>
      <w:r>
        <w:rPr>
          <w:rFonts w:ascii="Calibri" w:cs="Calibri" w:eastAsia="Calibri" w:hAnsi="Calibri"/>
        </w:rPr>
        <w:t xml:space="preserve"> </w:t>
      </w:r>
      <w:r>
        <w:rPr>
          <w:rFonts w:ascii="Calibri" w:cs="Calibri" w:eastAsia="Calibri" w:hAnsi="Calibri"/>
          <w:sz w:val="22"/>
          <w:szCs w:val="22"/>
        </w:rPr>
        <w:t xml:space="preserve">Follows this policy and reports anything they can reach that they should not.</w:t>
      </w:r>
    </w:p>
    <w:p>
      <w:pPr>
        <w:spacing w:after="80" w:line="288"/>
        <w:ind w:left="360"/>
      </w:pPr>
      <w:r>
        <w:rPr>
          <w:rFonts w:ascii="Calibri" w:cs="Calibri" w:eastAsia="Calibri" w:hAnsi="Calibri"/>
        </w:rPr>
        <w:t xml:space="preserve"/>
      </w:r>
      <w:r>
        <w:rPr>
          <w:rFonts w:ascii="Calibri" w:cs="Calibri" w:eastAsia="Calibri" w:hAnsi="Calibri"/>
          <w:b/>
          <w:bCs/>
          <w:color w:val="0C2712"/>
          <w:sz w:val="22"/>
          <w:szCs w:val="22"/>
        </w:rPr>
        <w:t xml:space="preserve">Staffing partner.</w:t>
      </w:r>
      <w:r>
        <w:rPr>
          <w:rFonts w:ascii="Calibri" w:cs="Calibri" w:eastAsia="Calibri" w:hAnsi="Calibri"/>
        </w:rPr>
        <w:t xml:space="preserve"> </w:t>
      </w:r>
      <w:r>
        <w:rPr>
          <w:rFonts w:ascii="Calibri" w:cs="Calibri" w:eastAsia="Calibri" w:hAnsi="Calibri"/>
          <w:sz w:val="22"/>
          <w:szCs w:val="22"/>
        </w:rPr>
        <w:t xml:space="preserve">Confirms identity before the start date, gives you the start and end dates in writing, and tells </w:t>
      </w:r>
      <w:r>
        <w:rPr>
          <w:rFonts w:ascii="Calibri" w:cs="Calibri" w:eastAsia="Calibri" w:hAnsi="Calibri"/>
          <w:color w:val="0C2712"/>
          <w:sz w:val="22"/>
          <w:szCs w:val="22"/>
          <w:shd w:fill="DCEBD8" w:color="auto" w:val="clear"/>
        </w:rPr>
        <w:t xml:space="preserve">[access owner mailbox]</w:t>
      </w:r>
      <w:r>
        <w:rPr>
          <w:rFonts w:ascii="Calibri" w:cs="Calibri" w:eastAsia="Calibri" w:hAnsi="Calibri"/>
          <w:sz w:val="22"/>
          <w:szCs w:val="22"/>
        </w:rPr>
        <w:t xml:space="preserve"> the day either one changes.</w:t>
      </w:r>
    </w:p>
    <w:p>
      <w:pPr>
        <w:pStyle w:val="Heading1"/>
        <w:keepNext/>
        <w:spacing w:after="60" w:before="320"/>
      </w:pPr>
      <w:r>
        <w:rPr>
          <w:rFonts w:ascii="Calibri" w:cs="Calibri" w:eastAsia="Calibri" w:hAnsi="Calibri"/>
          <w:b/>
          <w:bCs/>
          <w:color w:val="0C2712"/>
          <w:sz w:val="30"/>
          <w:szCs w:val="30"/>
        </w:rPr>
        <w:t xml:space="preserve">2. Access tiers by week</w:t>
      </w:r>
    </w:p>
    <w:p>
      <w:pPr>
        <w:keepNext/>
        <w:pBdr>
          <w:bottom w:val="single" w:color="0C2712" w:sz="6"/>
        </w:pBdr>
        <w:spacing w:after="140"/>
      </w:pPr>
      <w:r>
        <w:rPr>
          <w:rFonts w:ascii="Calibri" w:cs="Calibri" w:eastAsia="Calibri" w:hAnsi="Calibri"/>
          <w:i/>
          <w:iCs/>
          <w:color w:val="53655A"/>
          <w:sz w:val="18"/>
          <w:szCs w:val="18"/>
        </w:rPr>
        <w:t xml:space="preserve">Maps to SOC 2 CC6.2 and CC6.3. GLBA 314.4(c)(1)(ii)</w:t>
      </w:r>
    </w:p>
    <w:p>
      <w:pPr>
        <w:keepNext w:val="false"/>
        <w:spacing w:after="120" w:line="288"/>
      </w:pPr>
      <w:r>
        <w:rPr>
          <w:rFonts w:ascii="Calibri" w:cs="Calibri" w:eastAsia="Calibri" w:hAnsi="Calibri"/>
          <w:b/>
          <w:bCs/>
          <w:color w:val="53655A"/>
          <w:sz w:val="22"/>
          <w:szCs w:val="22"/>
        </w:rPr>
        <w:t xml:space="preserve">2.1  </w:t>
      </w:r>
      <w:r>
        <w:rPr>
          <w:rFonts w:ascii="Calibri" w:cs="Calibri" w:eastAsia="Calibri" w:hAnsi="Calibri"/>
          <w:b/>
          <w:bCs/>
          <w:color w:val="0C2712"/>
          <w:sz w:val="22"/>
          <w:szCs w:val="22"/>
        </w:rPr>
        <w:t xml:space="preserve">Access grows with what you know. </w:t>
      </w:r>
      <w:r>
        <w:rPr>
          <w:rFonts w:ascii="Calibri" w:cs="Calibri" w:eastAsia="Calibri" w:hAnsi="Calibri"/>
          <w:sz w:val="22"/>
          <w:szCs w:val="22"/>
        </w:rPr>
        <w:t xml:space="preserve">Every contractor starts at tier 1 and moves up one tier at a time. A tier is a ceiling, not an entitlement, so the contractor gets only the part of it that the current ticket needs.</w:t>
      </w:r>
    </w:p>
    <w:p>
      <w:pPr>
        <w:keepNext/>
        <w:spacing w:after="80" w:line="288"/>
      </w:pPr>
      <w:r>
        <w:rPr>
          <w:rFonts w:ascii="Calibri" w:cs="Calibri" w:eastAsia="Calibri" w:hAnsi="Calibri"/>
          <w:b/>
          <w:bCs/>
          <w:color w:val="0C2712"/>
          <w:sz w:val="22"/>
          <w:szCs w:val="22"/>
        </w:rPr>
        <w:t xml:space="preserve">2.2  The tiers.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00"/>
        <w:gridCol w:w="3300"/>
        <w:gridCol w:w="1760"/>
        <w:gridCol w:w="1800"/>
      </w:tblGrid>
      <w:tr>
        <w:trPr>
          <w:tblHeader/>
        </w:trPr>
        <w:tc>
          <w:tcPr>
            <w:tcW w:type="dxa" w:w="2500"/>
            <w:tcBorders>
              <w:top w:val="single" w:color="B9CAD3" w:sz="4"/>
              <w:left w:val="single" w:color="B9CAD3" w:sz="4"/>
              <w:bottom w:val="single" w:color="B9CAD3" w:sz="4"/>
              <w:right w:val="single" w:color="B9CAD3" w:sz="4"/>
            </w:tcBorders>
            <w:shd w:fill="0C2712" w:color="auto" w:val="clear"/>
            <w:tcMar>
              <w:top w:type="dxa" w:w="80"/>
              <w:left w:type="dxa" w:w="110"/>
              <w:bottom w:type="dxa" w:w="80"/>
              <w:right w:type="dxa" w:w="110"/>
            </w:tcMar>
          </w:tcPr>
          <w:p>
            <w:r>
              <w:rPr>
                <w:rFonts w:ascii="Calibri" w:cs="Calibri" w:eastAsia="Calibri" w:hAnsi="Calibri"/>
                <w:b/>
                <w:bCs/>
                <w:color w:val="FFFFFF"/>
                <w:sz w:val="18"/>
                <w:szCs w:val="18"/>
              </w:rPr>
              <w:t xml:space="preserve">Tier and week</w:t>
            </w:r>
          </w:p>
        </w:tc>
        <w:tc>
          <w:tcPr>
            <w:tcW w:type="dxa" w:w="3300"/>
            <w:tcBorders>
              <w:top w:val="single" w:color="B9CAD3" w:sz="4"/>
              <w:left w:val="single" w:color="B9CAD3" w:sz="4"/>
              <w:bottom w:val="single" w:color="B9CAD3" w:sz="4"/>
              <w:right w:val="single" w:color="B9CAD3" w:sz="4"/>
            </w:tcBorders>
            <w:shd w:fill="0C2712" w:color="auto" w:val="clear"/>
            <w:tcMar>
              <w:top w:type="dxa" w:w="80"/>
              <w:left w:type="dxa" w:w="110"/>
              <w:bottom w:type="dxa" w:w="80"/>
              <w:right w:type="dxa" w:w="110"/>
            </w:tcMar>
          </w:tcPr>
          <w:p>
            <w:r>
              <w:rPr>
                <w:rFonts w:ascii="Calibri" w:cs="Calibri" w:eastAsia="Calibri" w:hAnsi="Calibri"/>
                <w:b/>
                <w:bCs/>
                <w:color w:val="FFFFFF"/>
                <w:sz w:val="18"/>
                <w:szCs w:val="18"/>
              </w:rPr>
              <w:t xml:space="preserve">What the contractor can touch</w:t>
            </w:r>
          </w:p>
        </w:tc>
        <w:tc>
          <w:tcPr>
            <w:tcW w:type="dxa" w:w="1760"/>
            <w:tcBorders>
              <w:top w:val="single" w:color="B9CAD3" w:sz="4"/>
              <w:left w:val="single" w:color="B9CAD3" w:sz="4"/>
              <w:bottom w:val="single" w:color="B9CAD3" w:sz="4"/>
              <w:right w:val="single" w:color="B9CAD3" w:sz="4"/>
            </w:tcBorders>
            <w:shd w:fill="0C2712" w:color="auto" w:val="clear"/>
            <w:tcMar>
              <w:top w:type="dxa" w:w="80"/>
              <w:left w:type="dxa" w:w="110"/>
              <w:bottom w:type="dxa" w:w="80"/>
              <w:right w:type="dxa" w:w="110"/>
            </w:tcMar>
          </w:tcPr>
          <w:p>
            <w:r>
              <w:rPr>
                <w:rFonts w:ascii="Calibri" w:cs="Calibri" w:eastAsia="Calibri" w:hAnsi="Calibri"/>
                <w:b/>
                <w:bCs/>
                <w:color w:val="FFFFFF"/>
                <w:sz w:val="18"/>
                <w:szCs w:val="18"/>
              </w:rPr>
              <w:t xml:space="preserve">Approver</w:t>
            </w:r>
          </w:p>
        </w:tc>
        <w:tc>
          <w:tcPr>
            <w:tcW w:type="dxa" w:w="1800"/>
            <w:tcBorders>
              <w:top w:val="single" w:color="B9CAD3" w:sz="4"/>
              <w:left w:val="single" w:color="B9CAD3" w:sz="4"/>
              <w:bottom w:val="single" w:color="B9CAD3" w:sz="4"/>
              <w:right w:val="single" w:color="B9CAD3" w:sz="4"/>
            </w:tcBorders>
            <w:shd w:fill="0C2712" w:color="auto" w:val="clear"/>
            <w:tcMar>
              <w:top w:type="dxa" w:w="80"/>
              <w:left w:type="dxa" w:w="110"/>
              <w:bottom w:type="dxa" w:w="80"/>
              <w:right w:type="dxa" w:w="110"/>
            </w:tcMar>
          </w:tcPr>
          <w:p>
            <w:r>
              <w:rPr>
                <w:rFonts w:ascii="Calibri" w:cs="Calibri" w:eastAsia="Calibri" w:hAnsi="Calibri"/>
                <w:b/>
                <w:bCs/>
                <w:color w:val="FFFFFF"/>
                <w:sz w:val="18"/>
                <w:szCs w:val="18"/>
              </w:rPr>
              <w:t xml:space="preserve">Evidence kept</w:t>
            </w:r>
          </w:p>
        </w:tc>
      </w:tr>
      <w:tr>
        <w:trPr>
          <w:cantSplit/>
        </w:trPr>
        <w:tc>
          <w:tcPr>
            <w:tcW w:type="dxa" w:w="2500"/>
            <w:tcBorders>
              <w:top w:val="single" w:color="B9CAD3" w:sz="4"/>
              <w:left w:val="single" w:color="B9CAD3" w:sz="4"/>
              <w:bottom w:val="single" w:color="B9CAD3" w:sz="4"/>
              <w:right w:val="single" w:color="B9CAD3" w:sz="4"/>
            </w:tcBorders>
            <w:shd w:fill="EDF2F5" w:color="auto" w:val="clear"/>
            <w:tcMar>
              <w:top w:type="dxa" w:w="80"/>
              <w:left w:type="dxa" w:w="110"/>
              <w:bottom w:type="dxa" w:w="80"/>
              <w:right w:type="dxa" w:w="110"/>
            </w:tcMar>
          </w:tcPr>
          <w:p>
            <w:pPr>
              <w:spacing w:after="20"/>
            </w:pPr>
            <w:r>
              <w:rPr>
                <w:rFonts w:ascii="Calibri" w:cs="Calibri" w:eastAsia="Calibri" w:hAnsi="Calibri"/>
                <w:b/>
                <w:bCs/>
                <w:color w:val="0C2712"/>
                <w:sz w:val="22"/>
                <w:szCs w:val="22"/>
              </w:rPr>
              <w:t xml:space="preserve">Tier 0</w:t>
            </w:r>
          </w:p>
          <w:p>
            <w:r>
              <w:rPr>
                <w:rFonts w:ascii="Calibri" w:cs="Calibri" w:eastAsia="Calibri" w:hAnsi="Calibri"/>
                <w:color w:val="53655A"/>
                <w:sz w:val="20"/>
                <w:szCs w:val="20"/>
              </w:rPr>
              <w:t xml:space="preserve">Before the first login</w:t>
            </w:r>
          </w:p>
        </w:tc>
        <w:tc>
          <w:tcPr>
            <w:tcW w:type="dxa" w:w="3300"/>
            <w:tcBorders>
              <w:top w:val="single" w:color="B9CAD3" w:sz="4"/>
              <w:left w:val="single" w:color="B9CAD3" w:sz="4"/>
              <w:bottom w:val="single" w:color="B9CAD3" w:sz="4"/>
              <w:right w:val="single" w:color="B9CAD3" w:sz="4"/>
            </w:tcBorders>
            <w:tcMar>
              <w:top w:type="dxa" w:w="80"/>
              <w:left w:type="dxa" w:w="110"/>
              <w:bottom w:type="dxa" w:w="80"/>
              <w:right w:type="dxa" w:w="110"/>
            </w:tcMar>
          </w:tcPr>
          <w:p>
            <w:pPr>
              <w:spacing w:after="40"/>
            </w:pPr>
            <w:r>
              <w:rPr>
                <w:rFonts w:ascii="Calibri" w:cs="Calibri" w:eastAsia="Calibri" w:hAnsi="Calibri"/>
                <w:b/>
                <w:bCs/>
                <w:color w:val="0C2712"/>
                <w:sz w:val="20"/>
                <w:szCs w:val="20"/>
              </w:rPr>
              <w:t xml:space="preserve">Blast radius. </w:t>
            </w:r>
            <w:r>
              <w:rPr>
                <w:rFonts w:ascii="Calibri" w:cs="Calibri" w:eastAsia="Calibri" w:hAnsi="Calibri"/>
                <w:color w:val="0C2712"/>
                <w:sz w:val="20"/>
                <w:szCs w:val="20"/>
              </w:rPr>
              <w:t xml:space="preserve">None.</w:t>
            </w:r>
          </w:p>
          <w:p>
            <w:r>
              <w:rPr>
                <w:rFonts w:ascii="Calibri" w:cs="Calibri" w:eastAsia="Calibri" w:hAnsi="Calibri"/>
                <w:sz w:val="20"/>
                <w:szCs w:val="20"/>
              </w:rPr>
              <w:t xml:space="preserve">Nothing yet. Identity checked against a government ID on camera, agreements signed, managed device issued. One single sign-on account exists, with no permissions.</w:t>
            </w:r>
          </w:p>
        </w:tc>
        <w:tc>
          <w:tcPr>
            <w:tcW w:type="dxa" w:w="1760"/>
            <w:tcBorders>
              <w:top w:val="single" w:color="B9CAD3" w:sz="4"/>
              <w:left w:val="single" w:color="B9CAD3" w:sz="4"/>
              <w:bottom w:val="single" w:color="B9CAD3" w:sz="4"/>
              <w:right w:val="single" w:color="B9CAD3" w:sz="4"/>
            </w:tcBorders>
            <w:tcMar>
              <w:top w:type="dxa" w:w="80"/>
              <w:left w:type="dxa" w:w="110"/>
              <w:bottom w:type="dxa" w:w="80"/>
              <w:right w:type="dxa" w:w="110"/>
            </w:tcMar>
          </w:tcPr>
          <w:p>
            <w:r>
              <w:rPr>
                <w:rFonts w:ascii="Calibri" w:cs="Calibri" w:eastAsia="Calibri" w:hAnsi="Calibri"/>
                <w:sz w:val="20"/>
                <w:szCs w:val="20"/>
              </w:rPr>
              <w:t xml:space="preserve">Access approver</w:t>
            </w:r>
          </w:p>
        </w:tc>
        <w:tc>
          <w:tcPr>
            <w:tcW w:type="dxa" w:w="1800"/>
            <w:tcBorders>
              <w:top w:val="single" w:color="B9CAD3" w:sz="4"/>
              <w:left w:val="single" w:color="B9CAD3" w:sz="4"/>
              <w:bottom w:val="single" w:color="B9CAD3" w:sz="4"/>
              <w:right w:val="single" w:color="B9CAD3" w:sz="4"/>
            </w:tcBorders>
            <w:tcMar>
              <w:top w:type="dxa" w:w="80"/>
              <w:left w:type="dxa" w:w="110"/>
              <w:bottom w:type="dxa" w:w="80"/>
              <w:right w:type="dxa" w:w="110"/>
            </w:tcMar>
          </w:tcPr>
          <w:p>
            <w:r>
              <w:rPr>
                <w:rFonts w:ascii="Calibri" w:cs="Calibri" w:eastAsia="Calibri" w:hAnsi="Calibri"/>
                <w:sz w:val="20"/>
                <w:szCs w:val="20"/>
              </w:rPr>
              <w:t xml:space="preserve">Request ticket, ID check date, signed NDA and IP assignment, device asset tag.</w:t>
            </w:r>
          </w:p>
        </w:tc>
      </w:tr>
      <w:tr>
        <w:trPr>
          <w:cantSplit/>
        </w:trPr>
        <w:tc>
          <w:tcPr>
            <w:tcW w:type="dxa" w:w="2500"/>
            <w:tcBorders>
              <w:top w:val="single" w:color="B9CAD3" w:sz="4"/>
              <w:left w:val="single" w:color="B9CAD3" w:sz="4"/>
              <w:bottom w:val="single" w:color="B9CAD3" w:sz="4"/>
              <w:right w:val="single" w:color="B9CAD3" w:sz="4"/>
            </w:tcBorders>
            <w:shd w:fill="EDF2F5" w:color="auto" w:val="clear"/>
            <w:tcMar>
              <w:top w:type="dxa" w:w="80"/>
              <w:left w:type="dxa" w:w="110"/>
              <w:bottom w:type="dxa" w:w="80"/>
              <w:right w:type="dxa" w:w="110"/>
            </w:tcMar>
          </w:tcPr>
          <w:p>
            <w:pPr>
              <w:spacing w:after="20"/>
            </w:pPr>
            <w:r>
              <w:rPr>
                <w:rFonts w:ascii="Calibri" w:cs="Calibri" w:eastAsia="Calibri" w:hAnsi="Calibri"/>
                <w:b/>
                <w:bCs/>
                <w:color w:val="0C2712"/>
                <w:sz w:val="22"/>
                <w:szCs w:val="22"/>
              </w:rPr>
              <w:t xml:space="preserve">Tier 1</w:t>
            </w:r>
          </w:p>
          <w:p>
            <w:r>
              <w:rPr>
                <w:rFonts w:ascii="Calibri" w:cs="Calibri" w:eastAsia="Calibri" w:hAnsi="Calibri"/>
                <w:color w:val="53655A"/>
                <w:sz w:val="20"/>
                <w:szCs w:val="20"/>
              </w:rPr>
              <w:t xml:space="preserve">Day one to the end of week one</w:t>
            </w:r>
          </w:p>
        </w:tc>
        <w:tc>
          <w:tcPr>
            <w:tcW w:type="dxa" w:w="3300"/>
            <w:tcBorders>
              <w:top w:val="single" w:color="B9CAD3" w:sz="4"/>
              <w:left w:val="single" w:color="B9CAD3" w:sz="4"/>
              <w:bottom w:val="single" w:color="B9CAD3" w:sz="4"/>
              <w:right w:val="single" w:color="B9CAD3" w:sz="4"/>
            </w:tcBorders>
            <w:tcMar>
              <w:top w:type="dxa" w:w="80"/>
              <w:left w:type="dxa" w:w="110"/>
              <w:bottom w:type="dxa" w:w="80"/>
              <w:right w:type="dxa" w:w="110"/>
            </w:tcMar>
          </w:tcPr>
          <w:p>
            <w:pPr>
              <w:spacing w:after="40"/>
            </w:pPr>
            <w:r>
              <w:rPr>
                <w:rFonts w:ascii="Calibri" w:cs="Calibri" w:eastAsia="Calibri" w:hAnsi="Calibri"/>
                <w:b/>
                <w:bCs/>
                <w:color w:val="0C2712"/>
                <w:sz w:val="20"/>
                <w:szCs w:val="20"/>
              </w:rPr>
              <w:t xml:space="preserve">Blast radius. </w:t>
            </w:r>
            <w:r>
              <w:rPr>
                <w:rFonts w:ascii="Calibri" w:cs="Calibri" w:eastAsia="Calibri" w:hAnsi="Calibri"/>
                <w:color w:val="0C2712"/>
                <w:sz w:val="20"/>
                <w:szCs w:val="20"/>
              </w:rPr>
              <w:t xml:space="preserve">One branch and a sandbox.</w:t>
            </w:r>
          </w:p>
          <w:p>
            <w:r>
              <w:rPr>
                <w:rFonts w:ascii="Calibri" w:cs="Calibri" w:eastAsia="Calibri" w:hAnsi="Calibri"/>
                <w:sz w:val="20"/>
                <w:szCs w:val="20"/>
              </w:rPr>
              <w:t xml:space="preserve">What the first ticket needs. One repository on a feature branch, the development environment, CI logs, ticketing and chat. No production, no secrets, no customer data.</w:t>
            </w:r>
          </w:p>
        </w:tc>
        <w:tc>
          <w:tcPr>
            <w:tcW w:type="dxa" w:w="1760"/>
            <w:tcBorders>
              <w:top w:val="single" w:color="B9CAD3" w:sz="4"/>
              <w:left w:val="single" w:color="B9CAD3" w:sz="4"/>
              <w:bottom w:val="single" w:color="B9CAD3" w:sz="4"/>
              <w:right w:val="single" w:color="B9CAD3" w:sz="4"/>
            </w:tcBorders>
            <w:tcMar>
              <w:top w:type="dxa" w:w="80"/>
              <w:left w:type="dxa" w:w="110"/>
              <w:bottom w:type="dxa" w:w="80"/>
              <w:right w:type="dxa" w:w="110"/>
            </w:tcMar>
          </w:tcPr>
          <w:p>
            <w:r>
              <w:rPr>
                <w:rFonts w:ascii="Calibri" w:cs="Calibri" w:eastAsia="Calibri" w:hAnsi="Calibri"/>
                <w:sz w:val="20"/>
                <w:szCs w:val="20"/>
              </w:rPr>
              <w:t xml:space="preserve">Access approver</w:t>
            </w:r>
          </w:p>
        </w:tc>
        <w:tc>
          <w:tcPr>
            <w:tcW w:type="dxa" w:w="1800"/>
            <w:tcBorders>
              <w:top w:val="single" w:color="B9CAD3" w:sz="4"/>
              <w:left w:val="single" w:color="B9CAD3" w:sz="4"/>
              <w:bottom w:val="single" w:color="B9CAD3" w:sz="4"/>
              <w:right w:val="single" w:color="B9CAD3" w:sz="4"/>
            </w:tcBorders>
            <w:tcMar>
              <w:top w:type="dxa" w:w="80"/>
              <w:left w:type="dxa" w:w="110"/>
              <w:bottom w:type="dxa" w:w="80"/>
              <w:right w:type="dxa" w:w="110"/>
            </w:tcMar>
          </w:tcPr>
          <w:p>
            <w:r>
              <w:rPr>
                <w:rFonts w:ascii="Calibri" w:cs="Calibri" w:eastAsia="Calibri" w:hAnsi="Calibri"/>
                <w:sz w:val="20"/>
                <w:szCs w:val="20"/>
              </w:rPr>
              <w:t xml:space="preserve">Ticket naming the first task and each repository, plus the group-change log.</w:t>
            </w:r>
          </w:p>
        </w:tc>
      </w:tr>
      <w:tr>
        <w:trPr>
          <w:cantSplit/>
        </w:trPr>
        <w:tc>
          <w:tcPr>
            <w:tcW w:type="dxa" w:w="2500"/>
            <w:tcBorders>
              <w:top w:val="single" w:color="B9CAD3" w:sz="4"/>
              <w:left w:val="single" w:color="B9CAD3" w:sz="4"/>
              <w:bottom w:val="single" w:color="B9CAD3" w:sz="4"/>
              <w:right w:val="single" w:color="B9CAD3" w:sz="4"/>
            </w:tcBorders>
            <w:shd w:fill="EDF2F5" w:color="auto" w:val="clear"/>
            <w:tcMar>
              <w:top w:type="dxa" w:w="80"/>
              <w:left w:type="dxa" w:w="110"/>
              <w:bottom w:type="dxa" w:w="80"/>
              <w:right w:type="dxa" w:w="110"/>
            </w:tcMar>
          </w:tcPr>
          <w:p>
            <w:pPr>
              <w:spacing w:after="20"/>
            </w:pPr>
            <w:r>
              <w:rPr>
                <w:rFonts w:ascii="Calibri" w:cs="Calibri" w:eastAsia="Calibri" w:hAnsi="Calibri"/>
                <w:b/>
                <w:bCs/>
                <w:color w:val="0C2712"/>
                <w:sz w:val="22"/>
                <w:szCs w:val="22"/>
              </w:rPr>
              <w:t xml:space="preserve">Tier 2</w:t>
            </w:r>
          </w:p>
          <w:p>
            <w:r>
              <w:rPr>
                <w:rFonts w:ascii="Calibri" w:cs="Calibri" w:eastAsia="Calibri" w:hAnsi="Calibri"/>
                <w:color w:val="53655A"/>
                <w:sz w:val="20"/>
                <w:szCs w:val="20"/>
              </w:rPr>
              <w:t xml:space="preserve">Weeks 2 to 4</w:t>
            </w:r>
          </w:p>
        </w:tc>
        <w:tc>
          <w:tcPr>
            <w:tcW w:type="dxa" w:w="3300"/>
            <w:tcBorders>
              <w:top w:val="single" w:color="B9CAD3" w:sz="4"/>
              <w:left w:val="single" w:color="B9CAD3" w:sz="4"/>
              <w:bottom w:val="single" w:color="B9CAD3" w:sz="4"/>
              <w:right w:val="single" w:color="B9CAD3" w:sz="4"/>
            </w:tcBorders>
            <w:tcMar>
              <w:top w:type="dxa" w:w="80"/>
              <w:left w:type="dxa" w:w="110"/>
              <w:bottom w:type="dxa" w:w="80"/>
              <w:right w:type="dxa" w:w="110"/>
            </w:tcMar>
          </w:tcPr>
          <w:p>
            <w:pPr>
              <w:spacing w:after="40"/>
            </w:pPr>
            <w:r>
              <w:rPr>
                <w:rFonts w:ascii="Calibri" w:cs="Calibri" w:eastAsia="Calibri" w:hAnsi="Calibri"/>
                <w:b/>
                <w:bCs/>
                <w:color w:val="0C2712"/>
                <w:sz w:val="20"/>
                <w:szCs w:val="20"/>
              </w:rPr>
              <w:t xml:space="preserve">Blast radius. </w:t>
            </w:r>
            <w:r>
              <w:rPr>
                <w:rFonts w:ascii="Calibri" w:cs="Calibri" w:eastAsia="Calibri" w:hAnsi="Calibri"/>
                <w:color w:val="0C2712"/>
                <w:sz w:val="20"/>
                <w:szCs w:val="20"/>
              </w:rPr>
              <w:t xml:space="preserve">Staging and shared code.</w:t>
            </w:r>
          </w:p>
          <w:p>
            <w:r>
              <w:rPr>
                <w:rFonts w:ascii="Calibri" w:cs="Calibri" w:eastAsia="Calibri" w:hAnsi="Calibri"/>
                <w:sz w:val="20"/>
                <w:szCs w:val="20"/>
              </w:rPr>
              <w:t xml:space="preserve">More repositories and staging, added one ticket at a time. Deploys to staging through the pipeline only. Read-only monitoring. Still no production data.</w:t>
            </w:r>
          </w:p>
        </w:tc>
        <w:tc>
          <w:tcPr>
            <w:tcW w:type="dxa" w:w="1760"/>
            <w:tcBorders>
              <w:top w:val="single" w:color="B9CAD3" w:sz="4"/>
              <w:left w:val="single" w:color="B9CAD3" w:sz="4"/>
              <w:bottom w:val="single" w:color="B9CAD3" w:sz="4"/>
              <w:right w:val="single" w:color="B9CAD3" w:sz="4"/>
            </w:tcBorders>
            <w:tcMar>
              <w:top w:type="dxa" w:w="80"/>
              <w:left w:type="dxa" w:w="110"/>
              <w:bottom w:type="dxa" w:w="80"/>
              <w:right w:type="dxa" w:w="110"/>
            </w:tcMar>
          </w:tcPr>
          <w:p>
            <w:r>
              <w:rPr>
                <w:rFonts w:ascii="Calibri" w:cs="Calibri" w:eastAsia="Calibri" w:hAnsi="Calibri"/>
                <w:sz w:val="20"/>
                <w:szCs w:val="20"/>
              </w:rPr>
              <w:t xml:space="preserve">Access approver and second reviewer</w:t>
            </w:r>
          </w:p>
        </w:tc>
        <w:tc>
          <w:tcPr>
            <w:tcW w:type="dxa" w:w="1800"/>
            <w:tcBorders>
              <w:top w:val="single" w:color="B9CAD3" w:sz="4"/>
              <w:left w:val="single" w:color="B9CAD3" w:sz="4"/>
              <w:bottom w:val="single" w:color="B9CAD3" w:sz="4"/>
              <w:right w:val="single" w:color="B9CAD3" w:sz="4"/>
            </w:tcBorders>
            <w:tcMar>
              <w:top w:type="dxa" w:w="80"/>
              <w:left w:type="dxa" w:w="110"/>
              <w:bottom w:type="dxa" w:w="80"/>
              <w:right w:type="dxa" w:w="110"/>
            </w:tcMar>
          </w:tcPr>
          <w:p>
            <w:r>
              <w:rPr>
                <w:rFonts w:ascii="Calibri" w:cs="Calibri" w:eastAsia="Calibri" w:hAnsi="Calibri"/>
                <w:sz w:val="20"/>
                <w:szCs w:val="20"/>
              </w:rPr>
              <w:t xml:space="preserve">One ticket per addition, the week-one review note, an employee approval on every pull request.</w:t>
            </w:r>
          </w:p>
        </w:tc>
      </w:tr>
      <w:tr>
        <w:trPr>
          <w:cantSplit/>
        </w:trPr>
        <w:tc>
          <w:tcPr>
            <w:tcW w:type="dxa" w:w="2500"/>
            <w:tcBorders>
              <w:top w:val="single" w:color="B9CAD3" w:sz="4"/>
              <w:left w:val="single" w:color="B9CAD3" w:sz="4"/>
              <w:bottom w:val="single" w:color="B9CAD3" w:sz="4"/>
              <w:right w:val="single" w:color="B9CAD3" w:sz="4"/>
            </w:tcBorders>
            <w:shd w:fill="EDF2F5" w:color="auto" w:val="clear"/>
            <w:tcMar>
              <w:top w:type="dxa" w:w="80"/>
              <w:left w:type="dxa" w:w="110"/>
              <w:bottom w:type="dxa" w:w="80"/>
              <w:right w:type="dxa" w:w="110"/>
            </w:tcMar>
          </w:tcPr>
          <w:p>
            <w:pPr>
              <w:spacing w:after="20"/>
            </w:pPr>
            <w:r>
              <w:rPr>
                <w:rFonts w:ascii="Calibri" w:cs="Calibri" w:eastAsia="Calibri" w:hAnsi="Calibri"/>
                <w:b/>
                <w:bCs/>
                <w:color w:val="0C2712"/>
                <w:sz w:val="22"/>
                <w:szCs w:val="22"/>
              </w:rPr>
              <w:t xml:space="preserve">Tier 3</w:t>
            </w:r>
          </w:p>
          <w:p>
            <w:r>
              <w:rPr>
                <w:rFonts w:ascii="Calibri" w:cs="Calibri" w:eastAsia="Calibri" w:hAnsi="Calibri"/>
                <w:color w:val="53655A"/>
                <w:sz w:val="20"/>
                <w:szCs w:val="20"/>
              </w:rPr>
              <w:t xml:space="preserve">Week 5 onward, after the day-30 gate</w:t>
            </w:r>
          </w:p>
        </w:tc>
        <w:tc>
          <w:tcPr>
            <w:tcW w:type="dxa" w:w="3300"/>
            <w:tcBorders>
              <w:top w:val="single" w:color="B9CAD3" w:sz="4"/>
              <w:left w:val="single" w:color="B9CAD3" w:sz="4"/>
              <w:bottom w:val="single" w:color="B9CAD3" w:sz="4"/>
              <w:right w:val="single" w:color="B9CAD3" w:sz="4"/>
            </w:tcBorders>
            <w:tcMar>
              <w:top w:type="dxa" w:w="80"/>
              <w:left w:type="dxa" w:w="110"/>
              <w:bottom w:type="dxa" w:w="80"/>
              <w:right w:type="dxa" w:w="110"/>
            </w:tcMar>
          </w:tcPr>
          <w:p>
            <w:pPr>
              <w:spacing w:after="40"/>
            </w:pPr>
            <w:r>
              <w:rPr>
                <w:rFonts w:ascii="Calibri" w:cs="Calibri" w:eastAsia="Calibri" w:hAnsi="Calibri"/>
                <w:b/>
                <w:bCs/>
                <w:color w:val="0C2712"/>
                <w:sz w:val="20"/>
                <w:szCs w:val="20"/>
              </w:rPr>
              <w:t xml:space="preserve">Blast radius. </w:t>
            </w:r>
            <w:r>
              <w:rPr>
                <w:rFonts w:ascii="Calibri" w:cs="Calibri" w:eastAsia="Calibri" w:hAnsi="Calibri"/>
                <w:color w:val="0C2712"/>
                <w:sz w:val="20"/>
                <w:szCs w:val="20"/>
              </w:rPr>
              <w:t xml:space="preserve">Production, read side.</w:t>
            </w:r>
          </w:p>
          <w:p>
            <w:r>
              <w:rPr>
                <w:rFonts w:ascii="Calibri" w:cs="Calibri" w:eastAsia="Calibri" w:hAnsi="Calibri"/>
                <w:sz w:val="20"/>
                <w:szCs w:val="20"/>
              </w:rPr>
              <w:t xml:space="preserve">Production read-only through the audited tool, per request, with an expiry. Pipeline deploys with an employee approver. Production data only under section 3.</w:t>
            </w:r>
          </w:p>
        </w:tc>
        <w:tc>
          <w:tcPr>
            <w:tcW w:type="dxa" w:w="1760"/>
            <w:tcBorders>
              <w:top w:val="single" w:color="B9CAD3" w:sz="4"/>
              <w:left w:val="single" w:color="B9CAD3" w:sz="4"/>
              <w:bottom w:val="single" w:color="B9CAD3" w:sz="4"/>
              <w:right w:val="single" w:color="B9CAD3" w:sz="4"/>
            </w:tcBorders>
            <w:tcMar>
              <w:top w:type="dxa" w:w="80"/>
              <w:left w:type="dxa" w:w="110"/>
              <w:bottom w:type="dxa" w:w="80"/>
              <w:right w:type="dxa" w:w="110"/>
            </w:tcMar>
          </w:tcPr>
          <w:p>
            <w:r>
              <w:rPr>
                <w:rFonts w:ascii="Calibri" w:cs="Calibri" w:eastAsia="Calibri" w:hAnsi="Calibri"/>
                <w:sz w:val="20"/>
                <w:szCs w:val="20"/>
              </w:rPr>
              <w:t xml:space="preserve">Access approver and second reviewer</w:t>
            </w:r>
          </w:p>
        </w:tc>
        <w:tc>
          <w:tcPr>
            <w:tcW w:type="dxa" w:w="1800"/>
            <w:tcBorders>
              <w:top w:val="single" w:color="B9CAD3" w:sz="4"/>
              <w:left w:val="single" w:color="B9CAD3" w:sz="4"/>
              <w:bottom w:val="single" w:color="B9CAD3" w:sz="4"/>
              <w:right w:val="single" w:color="B9CAD3" w:sz="4"/>
            </w:tcBorders>
            <w:tcMar>
              <w:top w:type="dxa" w:w="80"/>
              <w:left w:type="dxa" w:w="110"/>
              <w:bottom w:type="dxa" w:w="80"/>
              <w:right w:type="dxa" w:w="110"/>
            </w:tcMar>
          </w:tcPr>
          <w:p>
            <w:r>
              <w:rPr>
                <w:rFonts w:ascii="Calibri" w:cs="Calibri" w:eastAsia="Calibri" w:hAnsi="Calibri"/>
                <w:sz w:val="20"/>
                <w:szCs w:val="20"/>
              </w:rPr>
              <w:t xml:space="preserve">The day-30 decision, a ticket and expiry for every production read, session logs.</w:t>
            </w:r>
          </w:p>
        </w:tc>
      </w:tr>
      <w:tr>
        <w:trPr>
          <w:cantSplit/>
        </w:trPr>
        <w:tc>
          <w:tcPr>
            <w:tcW w:type="dxa" w:w="2500"/>
            <w:tcBorders>
              <w:top w:val="single" w:color="B9CAD3" w:sz="4"/>
              <w:left w:val="single" w:color="B9CAD3" w:sz="4"/>
              <w:bottom w:val="single" w:color="B9CAD3" w:sz="4"/>
              <w:right w:val="single" w:color="B9CAD3" w:sz="4"/>
            </w:tcBorders>
            <w:shd w:fill="EDF2F5" w:color="auto" w:val="clear"/>
            <w:tcMar>
              <w:top w:type="dxa" w:w="80"/>
              <w:left w:type="dxa" w:w="110"/>
              <w:bottom w:type="dxa" w:w="80"/>
              <w:right w:type="dxa" w:w="110"/>
            </w:tcMar>
          </w:tcPr>
          <w:p>
            <w:pPr>
              <w:spacing w:after="20"/>
            </w:pPr>
            <w:r>
              <w:rPr>
                <w:rFonts w:ascii="Calibri" w:cs="Calibri" w:eastAsia="Calibri" w:hAnsi="Calibri"/>
                <w:b/>
                <w:bCs/>
                <w:color w:val="0C2712"/>
                <w:sz w:val="22"/>
                <w:szCs w:val="22"/>
              </w:rPr>
              <w:t xml:space="preserve">Exception</w:t>
            </w:r>
          </w:p>
          <w:p>
            <w:r>
              <w:rPr>
                <w:rFonts w:ascii="Calibri" w:cs="Calibri" w:eastAsia="Calibri" w:hAnsi="Calibri"/>
                <w:color w:val="53655A"/>
                <w:sz w:val="20"/>
                <w:szCs w:val="20"/>
              </w:rPr>
              <w:t xml:space="preserve">Any week, with an end date</w:t>
            </w:r>
          </w:p>
        </w:tc>
        <w:tc>
          <w:tcPr>
            <w:tcW w:type="dxa" w:w="3300"/>
            <w:tcBorders>
              <w:top w:val="single" w:color="B9CAD3" w:sz="4"/>
              <w:left w:val="single" w:color="B9CAD3" w:sz="4"/>
              <w:bottom w:val="single" w:color="B9CAD3" w:sz="4"/>
              <w:right w:val="single" w:color="B9CAD3" w:sz="4"/>
            </w:tcBorders>
            <w:tcMar>
              <w:top w:type="dxa" w:w="80"/>
              <w:left w:type="dxa" w:w="110"/>
              <w:bottom w:type="dxa" w:w="80"/>
              <w:right w:type="dxa" w:w="110"/>
            </w:tcMar>
          </w:tcPr>
          <w:p>
            <w:pPr>
              <w:spacing w:after="40"/>
            </w:pPr>
            <w:r>
              <w:rPr>
                <w:rFonts w:ascii="Calibri" w:cs="Calibri" w:eastAsia="Calibri" w:hAnsi="Calibri"/>
                <w:b/>
                <w:bCs/>
                <w:color w:val="0C2712"/>
                <w:sz w:val="20"/>
                <w:szCs w:val="20"/>
              </w:rPr>
              <w:t xml:space="preserve">Blast radius. </w:t>
            </w:r>
            <w:r>
              <w:rPr>
                <w:rFonts w:ascii="Calibri" w:cs="Calibri" w:eastAsia="Calibri" w:hAnsi="Calibri"/>
                <w:color w:val="0C2712"/>
                <w:sz w:val="20"/>
                <w:szCs w:val="20"/>
              </w:rPr>
              <w:t xml:space="preserve">Whatever it touches.</w:t>
            </w:r>
          </w:p>
          <w:p>
            <w:r>
              <w:rPr>
                <w:rFonts w:ascii="Calibri" w:cs="Calibri" w:eastAsia="Calibri" w:hAnsi="Calibri"/>
                <w:sz w:val="20"/>
                <w:szCs w:val="20"/>
              </w:rPr>
              <w:t xml:space="preserve">Production write, administrator roles, key custody or data export. Never a default. A named person, a written reason and an expiry of </w:t>
            </w:r>
            <w:r>
              <w:rPr>
                <w:rFonts w:ascii="Calibri" w:cs="Calibri" w:eastAsia="Calibri" w:hAnsi="Calibri"/>
                <w:color w:val="0C2712"/>
                <w:sz w:val="20"/>
                <w:szCs w:val="20"/>
                <w:shd w:fill="DCEBD8" w:color="auto" w:val="clear"/>
              </w:rPr>
              <w:t xml:space="preserve">[14]</w:t>
            </w:r>
            <w:r>
              <w:rPr>
                <w:rFonts w:ascii="Calibri" w:cs="Calibri" w:eastAsia="Calibri" w:hAnsi="Calibri"/>
                <w:sz w:val="20"/>
                <w:szCs w:val="20"/>
              </w:rPr>
              <w:t xml:space="preserve"> days or less.</w:t>
            </w:r>
          </w:p>
        </w:tc>
        <w:tc>
          <w:tcPr>
            <w:tcW w:type="dxa" w:w="1760"/>
            <w:tcBorders>
              <w:top w:val="single" w:color="B9CAD3" w:sz="4"/>
              <w:left w:val="single" w:color="B9CAD3" w:sz="4"/>
              <w:bottom w:val="single" w:color="B9CAD3" w:sz="4"/>
              <w:right w:val="single" w:color="B9CAD3" w:sz="4"/>
            </w:tcBorders>
            <w:tcMar>
              <w:top w:type="dxa" w:w="80"/>
              <w:left w:type="dxa" w:w="110"/>
              <w:bottom w:type="dxa" w:w="80"/>
              <w:right w:type="dxa" w:w="110"/>
            </w:tcMar>
          </w:tcPr>
          <w:p>
            <w:r>
              <w:rPr>
                <w:rFonts w:ascii="Calibri" w:cs="Calibri" w:eastAsia="Calibri" w:hAnsi="Calibri"/>
                <w:sz w:val="20"/>
                <w:szCs w:val="20"/>
              </w:rPr>
              <w:t xml:space="preserve">Policy owner and second reviewer</w:t>
            </w:r>
          </w:p>
        </w:tc>
        <w:tc>
          <w:tcPr>
            <w:tcW w:type="dxa" w:w="1800"/>
            <w:tcBorders>
              <w:top w:val="single" w:color="B9CAD3" w:sz="4"/>
              <w:left w:val="single" w:color="B9CAD3" w:sz="4"/>
              <w:bottom w:val="single" w:color="B9CAD3" w:sz="4"/>
              <w:right w:val="single" w:color="B9CAD3" w:sz="4"/>
            </w:tcBorders>
            <w:tcMar>
              <w:top w:type="dxa" w:w="80"/>
              <w:left w:type="dxa" w:w="110"/>
              <w:bottom w:type="dxa" w:w="80"/>
              <w:right w:type="dxa" w:w="110"/>
            </w:tcMar>
          </w:tcPr>
          <w:p>
            <w:r>
              <w:rPr>
                <w:rFonts w:ascii="Calibri" w:cs="Calibri" w:eastAsia="Calibri" w:hAnsi="Calibri"/>
                <w:sz w:val="20"/>
                <w:szCs w:val="20"/>
              </w:rPr>
              <w:t xml:space="preserve">The exception record, the expiry date, and proof of revocation on that date.</w:t>
            </w:r>
          </w:p>
        </w:tc>
      </w:tr>
    </w:tbl>
    <w:p>
      <w:pPr>
        <w:spacing w:after="140"/>
      </w:pPr>
    </w:p>
    <w:p>
      <w:pPr>
        <w:keepNext w:val="false"/>
        <w:spacing w:after="120" w:line="288"/>
      </w:pPr>
      <w:r>
        <w:rPr>
          <w:rFonts w:ascii="Calibri" w:cs="Calibri" w:eastAsia="Calibri" w:hAnsi="Calibri"/>
          <w:b/>
          <w:bCs/>
          <w:color w:val="53655A"/>
          <w:sz w:val="22"/>
          <w:szCs w:val="22"/>
        </w:rPr>
        <w:t xml:space="preserve">2.3  </w:t>
      </w:r>
      <w:r>
        <w:rPr>
          <w:rFonts w:ascii="Calibri" w:cs="Calibri" w:eastAsia="Calibri" w:hAnsi="Calibri"/>
          <w:b/>
          <w:bCs/>
          <w:color w:val="0C2712"/>
          <w:sz w:val="22"/>
          <w:szCs w:val="22"/>
        </w:rPr>
        <w:t xml:space="preserve">No skipping. </w:t>
      </w:r>
      <w:r>
        <w:rPr>
          <w:rFonts w:ascii="Calibri" w:cs="Calibri" w:eastAsia="Calibri" w:hAnsi="Calibri"/>
          <w:sz w:val="22"/>
          <w:szCs w:val="22"/>
        </w:rPr>
        <w:t xml:space="preserve">Skipping a tier needs a written exception from the policy owner. A contractor who moves to a new team restarts at tier 1 for that team's systems.</w:t>
      </w:r>
    </w:p>
    <w:p>
      <w:pPr>
        <w:keepNext w:val="false"/>
        <w:spacing w:after="120" w:line="288"/>
      </w:pPr>
      <w:r>
        <w:rPr>
          <w:rFonts w:ascii="Calibri" w:cs="Calibri" w:eastAsia="Calibri" w:hAnsi="Calibri"/>
          <w:b/>
          <w:bCs/>
          <w:color w:val="53655A"/>
          <w:sz w:val="22"/>
          <w:szCs w:val="22"/>
        </w:rPr>
        <w:t xml:space="preserve">2.4  </w:t>
      </w:r>
      <w:r>
        <w:rPr>
          <w:rFonts w:ascii="Calibri" w:cs="Calibri" w:eastAsia="Calibri" w:hAnsi="Calibri"/>
          <w:b/>
          <w:bCs/>
          <w:color w:val="0C2712"/>
          <w:sz w:val="22"/>
          <w:szCs w:val="22"/>
        </w:rPr>
        <w:t xml:space="preserve">Exception only. </w:t>
      </w:r>
      <w:r>
        <w:rPr>
          <w:rFonts w:ascii="Calibri" w:cs="Calibri" w:eastAsia="Calibri" w:hAnsi="Calibri"/>
          <w:sz w:val="22"/>
          <w:szCs w:val="22"/>
        </w:rPr>
        <w:t xml:space="preserve">Production write access, administrator roles, key custody and data export are exception items at every tier.</w:t>
      </w:r>
    </w:p>
    <w:p>
      <w:pPr>
        <w:pStyle w:val="Heading1"/>
        <w:keepNext/>
        <w:spacing w:after="60" w:before="320"/>
      </w:pPr>
      <w:r>
        <w:rPr>
          <w:rFonts w:ascii="Calibri" w:cs="Calibri" w:eastAsia="Calibri" w:hAnsi="Calibri"/>
          <w:b/>
          <w:bCs/>
          <w:color w:val="0C2712"/>
          <w:sz w:val="30"/>
          <w:szCs w:val="30"/>
        </w:rPr>
        <w:t xml:space="preserve">3. Production data rules</w:t>
      </w:r>
    </w:p>
    <w:p>
      <w:pPr>
        <w:keepNext/>
        <w:pBdr>
          <w:bottom w:val="single" w:color="0C2712" w:sz="6"/>
        </w:pBdr>
        <w:spacing w:after="140"/>
      </w:pPr>
      <w:r>
        <w:rPr>
          <w:rFonts w:ascii="Calibri" w:cs="Calibri" w:eastAsia="Calibri" w:hAnsi="Calibri"/>
          <w:i/>
          <w:iCs/>
          <w:color w:val="53655A"/>
          <w:sz w:val="18"/>
          <w:szCs w:val="18"/>
        </w:rPr>
        <w:t xml:space="preserve">Maps to SOC 2 CC6.1. GLBA 314.4(c)(3) and (c)(8)</w:t>
      </w:r>
    </w:p>
    <w:p>
      <w:pPr>
        <w:keepNext w:val="false"/>
        <w:spacing w:after="120" w:line="288"/>
      </w:pPr>
      <w:r>
        <w:rPr>
          <w:rFonts w:ascii="Calibri" w:cs="Calibri" w:eastAsia="Calibri" w:hAnsi="Calibri"/>
          <w:b/>
          <w:bCs/>
          <w:color w:val="53655A"/>
          <w:sz w:val="22"/>
          <w:szCs w:val="22"/>
        </w:rPr>
        <w:t xml:space="preserve">3.1  </w:t>
      </w:r>
      <w:r>
        <w:rPr>
          <w:rFonts w:ascii="Calibri" w:cs="Calibri" w:eastAsia="Calibri" w:hAnsi="Calibri"/>
          <w:b/>
          <w:bCs/>
          <w:color w:val="0C2712"/>
          <w:sz w:val="22"/>
          <w:szCs w:val="22"/>
        </w:rPr>
        <w:t xml:space="preserve">Production stays in production. </w:t>
      </w:r>
      <w:r>
        <w:rPr>
          <w:rFonts w:ascii="Calibri" w:cs="Calibri" w:eastAsia="Calibri" w:hAnsi="Calibri"/>
          <w:sz w:val="22"/>
          <w:szCs w:val="22"/>
        </w:rPr>
        <w:t xml:space="preserve">Customer information from production does not go to laptops, development or staging environments, tickets, chat, screenshots or AI tools, and contractors work against masked or synthetic data in every environment below production.</w:t>
      </w:r>
    </w:p>
    <w:p>
      <w:pPr>
        <w:keepNext w:val="false"/>
        <w:spacing w:after="120" w:line="288"/>
      </w:pPr>
      <w:r>
        <w:rPr>
          <w:rFonts w:ascii="Calibri" w:cs="Calibri" w:eastAsia="Calibri" w:hAnsi="Calibri"/>
          <w:b/>
          <w:bCs/>
          <w:color w:val="53655A"/>
          <w:sz w:val="22"/>
          <w:szCs w:val="22"/>
        </w:rPr>
        <w:t xml:space="preserve">3.2  </w:t>
      </w:r>
      <w:r>
        <w:rPr>
          <w:rFonts w:ascii="Calibri" w:cs="Calibri" w:eastAsia="Calibri" w:hAnsi="Calibri"/>
          <w:b/>
          <w:bCs/>
          <w:color w:val="0C2712"/>
          <w:sz w:val="22"/>
          <w:szCs w:val="22"/>
        </w:rPr>
        <w:t xml:space="preserve">Reads go through the audited tool. </w:t>
      </w:r>
      <w:r>
        <w:rPr>
          <w:rFonts w:ascii="Calibri" w:cs="Calibri" w:eastAsia="Calibri" w:hAnsi="Calibri"/>
          <w:sz w:val="22"/>
          <w:szCs w:val="22"/>
        </w:rPr>
        <w:t xml:space="preserve">Each read of production needs a ticket, a stated reason and an expiry of </w:t>
      </w:r>
      <w:r>
        <w:rPr>
          <w:rFonts w:ascii="Calibri" w:cs="Calibri" w:eastAsia="Calibri" w:hAnsi="Calibri"/>
          <w:color w:val="0C2712"/>
          <w:sz w:val="22"/>
          <w:szCs w:val="22"/>
          <w:shd w:fill="DCEBD8" w:color="auto" w:val="clear"/>
        </w:rPr>
        <w:t xml:space="preserve">[4]</w:t>
      </w:r>
      <w:r>
        <w:rPr>
          <w:rFonts w:ascii="Calibri" w:cs="Calibri" w:eastAsia="Calibri" w:hAnsi="Calibri"/>
          <w:sz w:val="22"/>
          <w:szCs w:val="22"/>
        </w:rPr>
        <w:t xml:space="preserve"> hours or less. The session is logged through </w:t>
      </w:r>
      <w:r>
        <w:rPr>
          <w:rFonts w:ascii="Calibri" w:cs="Calibri" w:eastAsia="Calibri" w:hAnsi="Calibri"/>
          <w:color w:val="0C2712"/>
          <w:sz w:val="22"/>
          <w:szCs w:val="22"/>
          <w:shd w:fill="DCEBD8" w:color="auto" w:val="clear"/>
        </w:rPr>
        <w:t xml:space="preserve">[the audited access tool]</w:t>
      </w:r>
      <w:r>
        <w:rPr>
          <w:rFonts w:ascii="Calibri" w:cs="Calibri" w:eastAsia="Calibri" w:hAnsi="Calibri"/>
          <w:sz w:val="22"/>
          <w:szCs w:val="22"/>
        </w:rPr>
        <w:t xml:space="preserve"> and tied to one named person.</w:t>
      </w:r>
    </w:p>
    <w:p>
      <w:pPr>
        <w:keepNext w:val="false"/>
        <w:spacing w:after="120" w:line="288"/>
      </w:pPr>
      <w:r>
        <w:rPr>
          <w:rFonts w:ascii="Calibri" w:cs="Calibri" w:eastAsia="Calibri" w:hAnsi="Calibri"/>
          <w:b/>
          <w:bCs/>
          <w:color w:val="53655A"/>
          <w:sz w:val="22"/>
          <w:szCs w:val="22"/>
        </w:rPr>
        <w:t xml:space="preserve">3.3  </w:t>
      </w:r>
      <w:r>
        <w:rPr>
          <w:rFonts w:ascii="Calibri" w:cs="Calibri" w:eastAsia="Calibri" w:hAnsi="Calibri"/>
          <w:b/>
          <w:bCs/>
          <w:color w:val="0C2712"/>
          <w:sz w:val="22"/>
          <w:szCs w:val="22"/>
        </w:rPr>
        <w:t xml:space="preserve">No exports. </w:t>
      </w:r>
      <w:r>
        <w:rPr>
          <w:rFonts w:ascii="Calibri" w:cs="Calibri" w:eastAsia="Calibri" w:hAnsi="Calibri"/>
          <w:sz w:val="22"/>
          <w:szCs w:val="22"/>
        </w:rPr>
        <w:t xml:space="preserve">A contractor never exports production data. If a task needs a sample, an employee produces it masked and records who asked.</w:t>
      </w:r>
    </w:p>
    <w:p>
      <w:pPr>
        <w:keepNext w:val="false"/>
        <w:spacing w:after="120" w:line="288"/>
      </w:pPr>
      <w:r>
        <w:rPr>
          <w:rFonts w:ascii="Calibri" w:cs="Calibri" w:eastAsia="Calibri" w:hAnsi="Calibri"/>
          <w:b/>
          <w:bCs/>
          <w:color w:val="53655A"/>
          <w:sz w:val="22"/>
          <w:szCs w:val="22"/>
        </w:rPr>
        <w:t xml:space="preserve">3.4  </w:t>
      </w:r>
      <w:r>
        <w:rPr>
          <w:rFonts w:ascii="Calibri" w:cs="Calibri" w:eastAsia="Calibri" w:hAnsi="Calibri"/>
          <w:b/>
          <w:bCs/>
          <w:color w:val="0C2712"/>
          <w:sz w:val="22"/>
          <w:szCs w:val="22"/>
        </w:rPr>
        <w:t xml:space="preserve">Secrets belong to one person. </w:t>
      </w:r>
      <w:r>
        <w:rPr>
          <w:rFonts w:ascii="Calibri" w:cs="Calibri" w:eastAsia="Calibri" w:hAnsi="Calibri"/>
          <w:sz w:val="22"/>
          <w:szCs w:val="22"/>
        </w:rPr>
        <w:t xml:space="preserve">Contractors never receive shared passwords, break-glass credentials or service account secrets. They draw per-person credentials from </w:t>
      </w:r>
      <w:r>
        <w:rPr>
          <w:rFonts w:ascii="Calibri" w:cs="Calibri" w:eastAsia="Calibri" w:hAnsi="Calibri"/>
          <w:color w:val="0C2712"/>
          <w:sz w:val="22"/>
          <w:szCs w:val="22"/>
          <w:shd w:fill="DCEBD8" w:color="auto" w:val="clear"/>
        </w:rPr>
        <w:t xml:space="preserve">[the secrets vault]</w:t>
      </w:r>
      <w:r>
        <w:rPr>
          <w:rFonts w:ascii="Calibri" w:cs="Calibri" w:eastAsia="Calibri" w:hAnsi="Calibri"/>
          <w:sz w:val="22"/>
          <w:szCs w:val="22"/>
        </w:rPr>
        <w:t xml:space="preserve">, which logs every read and expires each credential in </w:t>
      </w:r>
      <w:r>
        <w:rPr>
          <w:rFonts w:ascii="Calibri" w:cs="Calibri" w:eastAsia="Calibri" w:hAnsi="Calibri"/>
          <w:color w:val="0C2712"/>
          <w:sz w:val="22"/>
          <w:szCs w:val="22"/>
          <w:shd w:fill="DCEBD8" w:color="auto" w:val="clear"/>
        </w:rPr>
        <w:t xml:space="preserve">[30]</w:t>
      </w:r>
      <w:r>
        <w:rPr>
          <w:rFonts w:ascii="Calibri" w:cs="Calibri" w:eastAsia="Calibri" w:hAnsi="Calibri"/>
          <w:sz w:val="22"/>
          <w:szCs w:val="22"/>
        </w:rPr>
        <w:t xml:space="preserve"> days.</w:t>
      </w:r>
    </w:p>
    <w:p>
      <w:pPr>
        <w:keepNext w:val="false"/>
        <w:spacing w:after="120" w:line="288"/>
      </w:pPr>
      <w:r>
        <w:rPr>
          <w:rFonts w:ascii="Calibri" w:cs="Calibri" w:eastAsia="Calibri" w:hAnsi="Calibri"/>
          <w:b/>
          <w:bCs/>
          <w:color w:val="53655A"/>
          <w:sz w:val="22"/>
          <w:szCs w:val="22"/>
        </w:rPr>
        <w:t xml:space="preserve">3.5  </w:t>
      </w:r>
      <w:r>
        <w:rPr>
          <w:rFonts w:ascii="Calibri" w:cs="Calibri" w:eastAsia="Calibri" w:hAnsi="Calibri"/>
          <w:b/>
          <w:bCs/>
          <w:color w:val="0C2712"/>
          <w:sz w:val="22"/>
          <w:szCs w:val="22"/>
        </w:rPr>
        <w:t xml:space="preserve">Encryption. </w:t>
      </w:r>
      <w:r>
        <w:rPr>
          <w:rFonts w:ascii="Calibri" w:cs="Calibri" w:eastAsia="Calibri" w:hAnsi="Calibri"/>
          <w:sz w:val="22"/>
          <w:szCs w:val="22"/>
        </w:rPr>
        <w:t xml:space="preserve">Any copy of customer information that exists, on any device, is encrypted at rest and in transit.</w:t>
      </w:r>
    </w:p>
    <w:p>
      <w:pPr>
        <w:pStyle w:val="Heading1"/>
        <w:keepNext/>
        <w:spacing w:after="60" w:before="320"/>
      </w:pPr>
      <w:r>
        <w:rPr>
          <w:rFonts w:ascii="Calibri" w:cs="Calibri" w:eastAsia="Calibri" w:hAnsi="Calibri"/>
          <w:b/>
          <w:bCs/>
          <w:color w:val="0C2712"/>
          <w:sz w:val="30"/>
          <w:szCs w:val="30"/>
        </w:rPr>
        <w:t xml:space="preserve">4. MFA and device requirements</w:t>
      </w:r>
    </w:p>
    <w:p>
      <w:pPr>
        <w:keepNext/>
        <w:pBdr>
          <w:bottom w:val="single" w:color="0C2712" w:sz="6"/>
        </w:pBdr>
        <w:spacing w:after="140"/>
      </w:pPr>
      <w:r>
        <w:rPr>
          <w:rFonts w:ascii="Calibri" w:cs="Calibri" w:eastAsia="Calibri" w:hAnsi="Calibri"/>
          <w:i/>
          <w:iCs/>
          <w:color w:val="53655A"/>
          <w:sz w:val="18"/>
          <w:szCs w:val="18"/>
        </w:rPr>
        <w:t xml:space="preserve">Maps to SOC 2 CC6.1. GLBA 314.4(c)(5)</w:t>
      </w:r>
    </w:p>
    <w:p>
      <w:pPr>
        <w:keepNext w:val="false"/>
        <w:spacing w:after="120" w:line="288"/>
      </w:pPr>
      <w:r>
        <w:rPr>
          <w:rFonts w:ascii="Calibri" w:cs="Calibri" w:eastAsia="Calibri" w:hAnsi="Calibri"/>
          <w:b/>
          <w:bCs/>
          <w:color w:val="53655A"/>
          <w:sz w:val="22"/>
          <w:szCs w:val="22"/>
        </w:rPr>
        <w:t xml:space="preserve">4.1  </w:t>
      </w:r>
      <w:r>
        <w:rPr>
          <w:rFonts w:ascii="Calibri" w:cs="Calibri" w:eastAsia="Calibri" w:hAnsi="Calibri"/>
          <w:b/>
          <w:bCs/>
          <w:color w:val="0C2712"/>
          <w:sz w:val="22"/>
          <w:szCs w:val="22"/>
        </w:rPr>
        <w:t xml:space="preserve">One person, one account. </w:t>
      </w:r>
      <w:r>
        <w:rPr>
          <w:rFonts w:ascii="Calibri" w:cs="Calibri" w:eastAsia="Calibri" w:hAnsi="Calibri"/>
          <w:sz w:val="22"/>
          <w:szCs w:val="22"/>
        </w:rPr>
        <w:t xml:space="preserve">No shared accounts, shared tokens or shared keys, at any tier.</w:t>
      </w:r>
    </w:p>
    <w:p>
      <w:pPr>
        <w:keepNext w:val="false"/>
        <w:spacing w:after="120" w:line="288"/>
      </w:pPr>
      <w:r>
        <w:rPr>
          <w:rFonts w:ascii="Calibri" w:cs="Calibri" w:eastAsia="Calibri" w:hAnsi="Calibri"/>
          <w:b/>
          <w:bCs/>
          <w:color w:val="53655A"/>
          <w:sz w:val="22"/>
          <w:szCs w:val="22"/>
        </w:rPr>
        <w:t xml:space="preserve">4.2  </w:t>
      </w:r>
      <w:r>
        <w:rPr>
          <w:rFonts w:ascii="Calibri" w:cs="Calibri" w:eastAsia="Calibri" w:hAnsi="Calibri"/>
          <w:b/>
          <w:bCs/>
          <w:color w:val="0C2712"/>
          <w:sz w:val="22"/>
          <w:szCs w:val="22"/>
        </w:rPr>
        <w:t xml:space="preserve">Strong MFA everywhere. </w:t>
      </w:r>
      <w:r>
        <w:rPr>
          <w:rFonts w:ascii="Calibri" w:cs="Calibri" w:eastAsia="Calibri" w:hAnsi="Calibri"/>
          <w:sz w:val="22"/>
          <w:szCs w:val="22"/>
        </w:rPr>
        <w:t xml:space="preserve">Multi-factor authentication is on for every system a contractor can reach. Use a passkey or hardware security key for single sign-on, source control and cloud consoles. Text-message codes need the policy owner's written approval.</w:t>
      </w:r>
    </w:p>
    <w:p>
      <w:pPr>
        <w:keepNext w:val="false"/>
        <w:spacing w:after="120" w:line="288"/>
      </w:pPr>
      <w:r>
        <w:rPr>
          <w:rFonts w:ascii="Calibri" w:cs="Calibri" w:eastAsia="Calibri" w:hAnsi="Calibri"/>
          <w:b/>
          <w:bCs/>
          <w:color w:val="53655A"/>
          <w:sz w:val="22"/>
          <w:szCs w:val="22"/>
        </w:rPr>
        <w:t xml:space="preserve">4.3  </w:t>
      </w:r>
      <w:r>
        <w:rPr>
          <w:rFonts w:ascii="Calibri" w:cs="Calibri" w:eastAsia="Calibri" w:hAnsi="Calibri"/>
          <w:b/>
          <w:bCs/>
          <w:color w:val="0C2712"/>
          <w:sz w:val="22"/>
          <w:szCs w:val="22"/>
        </w:rPr>
        <w:t xml:space="preserve">A managed device. </w:t>
      </w:r>
      <w:r>
        <w:rPr>
          <w:rFonts w:ascii="Calibri" w:cs="Calibri" w:eastAsia="Calibri" w:hAnsi="Calibri"/>
          <w:sz w:val="22"/>
          <w:szCs w:val="22"/>
        </w:rPr>
        <w:t xml:space="preserve">Contractors work from a device that </w:t>
      </w:r>
      <w:r>
        <w:rPr>
          <w:rFonts w:ascii="Calibri" w:cs="Calibri" w:eastAsia="Calibri" w:hAnsi="Calibri"/>
          <w:color w:val="0C2712"/>
          <w:sz w:val="22"/>
          <w:szCs w:val="22"/>
          <w:shd w:fill="DCEBD8" w:color="auto" w:val="clear"/>
        </w:rPr>
        <w:t xml:space="preserve">[Company name]</w:t>
      </w:r>
      <w:r>
        <w:rPr>
          <w:rFonts w:ascii="Calibri" w:cs="Calibri" w:eastAsia="Calibri" w:hAnsi="Calibri"/>
          <w:sz w:val="22"/>
          <w:szCs w:val="22"/>
        </w:rPr>
        <w:t xml:space="preserve"> issues and manages, with full-disk encryption, a screen lock of </w:t>
      </w:r>
      <w:r>
        <w:rPr>
          <w:rFonts w:ascii="Calibri" w:cs="Calibri" w:eastAsia="Calibri" w:hAnsi="Calibri"/>
          <w:color w:val="0C2712"/>
          <w:sz w:val="22"/>
          <w:szCs w:val="22"/>
          <w:shd w:fill="DCEBD8" w:color="auto" w:val="clear"/>
        </w:rPr>
        <w:t xml:space="preserve">[5]</w:t>
      </w:r>
      <w:r>
        <w:rPr>
          <w:rFonts w:ascii="Calibri" w:cs="Calibri" w:eastAsia="Calibri" w:hAnsi="Calibri"/>
          <w:sz w:val="22"/>
          <w:szCs w:val="22"/>
        </w:rPr>
        <w:t xml:space="preserve"> minutes or less, endpoint protection, automatic patching, no local administrator rights and removable storage disabled. Personal devices are not allowed at tier 2 or above.</w:t>
      </w:r>
    </w:p>
    <w:p>
      <w:pPr>
        <w:keepNext w:val="false"/>
        <w:spacing w:after="120" w:line="288"/>
      </w:pPr>
      <w:r>
        <w:rPr>
          <w:rFonts w:ascii="Calibri" w:cs="Calibri" w:eastAsia="Calibri" w:hAnsi="Calibri"/>
          <w:b/>
          <w:bCs/>
          <w:color w:val="53655A"/>
          <w:sz w:val="22"/>
          <w:szCs w:val="22"/>
        </w:rPr>
        <w:t xml:space="preserve">4.4  </w:t>
      </w:r>
      <w:r>
        <w:rPr>
          <w:rFonts w:ascii="Calibri" w:cs="Calibri" w:eastAsia="Calibri" w:hAnsi="Calibri"/>
          <w:b/>
          <w:bCs/>
          <w:color w:val="0C2712"/>
          <w:sz w:val="22"/>
          <w:szCs w:val="22"/>
        </w:rPr>
        <w:t xml:space="preserve">Code stays on the device. </w:t>
      </w:r>
      <w:r>
        <w:rPr>
          <w:rFonts w:ascii="Calibri" w:cs="Calibri" w:eastAsia="Calibri" w:hAnsi="Calibri"/>
          <w:sz w:val="22"/>
          <w:szCs w:val="22"/>
        </w:rPr>
        <w:t xml:space="preserve">No cloning to personal machines, personal cloud storage or unmanaged folders. Access runs through </w:t>
      </w:r>
      <w:r>
        <w:rPr>
          <w:rFonts w:ascii="Calibri" w:cs="Calibri" w:eastAsia="Calibri" w:hAnsi="Calibri"/>
          <w:color w:val="0C2712"/>
          <w:sz w:val="22"/>
          <w:szCs w:val="22"/>
          <w:shd w:fill="DCEBD8" w:color="auto" w:val="clear"/>
        </w:rPr>
        <w:t xml:space="preserve">[your VPN or zero-trust gateway]</w:t>
      </w:r>
      <w:r>
        <w:rPr>
          <w:rFonts w:ascii="Calibri" w:cs="Calibri" w:eastAsia="Calibri" w:hAnsi="Calibri"/>
          <w:sz w:val="22"/>
          <w:szCs w:val="22"/>
        </w:rPr>
        <w:t xml:space="preserve">.</w:t>
      </w:r>
    </w:p>
    <w:p>
      <w:pPr>
        <w:keepNext w:val="false"/>
        <w:spacing w:after="120" w:line="288"/>
      </w:pPr>
      <w:r>
        <w:rPr>
          <w:rFonts w:ascii="Calibri" w:cs="Calibri" w:eastAsia="Calibri" w:hAnsi="Calibri"/>
          <w:b/>
          <w:bCs/>
          <w:color w:val="53655A"/>
          <w:sz w:val="22"/>
          <w:szCs w:val="22"/>
        </w:rPr>
        <w:t xml:space="preserve">4.5  </w:t>
      </w:r>
      <w:r>
        <w:rPr>
          <w:rFonts w:ascii="Calibri" w:cs="Calibri" w:eastAsia="Calibri" w:hAnsi="Calibri"/>
          <w:b/>
          <w:bCs/>
          <w:color w:val="0C2712"/>
          <w:sz w:val="22"/>
          <w:szCs w:val="22"/>
        </w:rPr>
        <w:t xml:space="preserve">Tokens and keys. </w:t>
      </w:r>
      <w:r>
        <w:rPr>
          <w:rFonts w:ascii="Calibri" w:cs="Calibri" w:eastAsia="Calibri" w:hAnsi="Calibri"/>
          <w:sz w:val="22"/>
          <w:szCs w:val="22"/>
        </w:rPr>
        <w:t xml:space="preserve">Personal access tokens, SSH keys and API keys are issued to one person, expire in </w:t>
      </w:r>
      <w:r>
        <w:rPr>
          <w:rFonts w:ascii="Calibri" w:cs="Calibri" w:eastAsia="Calibri" w:hAnsi="Calibri"/>
          <w:color w:val="0C2712"/>
          <w:sz w:val="22"/>
          <w:szCs w:val="22"/>
          <w:shd w:fill="DCEBD8" w:color="auto" w:val="clear"/>
        </w:rPr>
        <w:t xml:space="preserve">[30]</w:t>
      </w:r>
      <w:r>
        <w:rPr>
          <w:rFonts w:ascii="Calibri" w:cs="Calibri" w:eastAsia="Calibri" w:hAnsi="Calibri"/>
          <w:sz w:val="22"/>
          <w:szCs w:val="22"/>
        </w:rPr>
        <w:t xml:space="preserve"> days and are listed in </w:t>
      </w:r>
      <w:r>
        <w:rPr>
          <w:rFonts w:ascii="Calibri" w:cs="Calibri" w:eastAsia="Calibri" w:hAnsi="Calibri"/>
          <w:color w:val="0C2712"/>
          <w:sz w:val="22"/>
          <w:szCs w:val="22"/>
          <w:shd w:fill="DCEBD8" w:color="auto" w:val="clear"/>
        </w:rPr>
        <w:t xml:space="preserve">[the credential inventory]</w:t>
      </w:r>
      <w:r>
        <w:rPr>
          <w:rFonts w:ascii="Calibri" w:cs="Calibri" w:eastAsia="Calibri" w:hAnsi="Calibri"/>
          <w:sz w:val="22"/>
          <w:szCs w:val="22"/>
        </w:rPr>
        <w:t xml:space="preserve">. The contractor lists any token they create themselves.</w:t>
      </w:r>
    </w:p>
    <w:p>
      <w:pPr>
        <w:pStyle w:val="Heading1"/>
        <w:keepNext/>
        <w:spacing w:after="60" w:before="320"/>
      </w:pPr>
      <w:r>
        <w:rPr>
          <w:rFonts w:ascii="Calibri" w:cs="Calibri" w:eastAsia="Calibri" w:hAnsi="Calibri"/>
          <w:b/>
          <w:bCs/>
          <w:color w:val="0C2712"/>
          <w:sz w:val="30"/>
          <w:szCs w:val="30"/>
        </w:rPr>
        <w:t xml:space="preserve">5. Review gates</w:t>
      </w:r>
    </w:p>
    <w:p>
      <w:pPr>
        <w:keepNext/>
        <w:pBdr>
          <w:bottom w:val="single" w:color="0C2712" w:sz="6"/>
        </w:pBdr>
        <w:spacing w:after="140"/>
      </w:pPr>
      <w:r>
        <w:rPr>
          <w:rFonts w:ascii="Calibri" w:cs="Calibri" w:eastAsia="Calibri" w:hAnsi="Calibri"/>
          <w:i/>
          <w:iCs/>
          <w:color w:val="53655A"/>
          <w:sz w:val="18"/>
          <w:szCs w:val="18"/>
        </w:rPr>
        <w:t xml:space="preserve">Maps to SOC 2 CC6.2 and CC6.3. GLBA 314.4(c)(1)</w:t>
      </w:r>
    </w:p>
    <w:p>
      <w:pPr>
        <w:keepNext/>
        <w:spacing w:after="80" w:line="288"/>
      </w:pPr>
      <w:r>
        <w:rPr>
          <w:rFonts w:ascii="Calibri" w:cs="Calibri" w:eastAsia="Calibri" w:hAnsi="Calibri"/>
          <w:b/>
          <w:bCs/>
          <w:color w:val="53655A"/>
          <w:sz w:val="22"/>
          <w:szCs w:val="22"/>
        </w:rPr>
        <w:t xml:space="preserve">5.1  </w:t>
      </w:r>
      <w:r>
        <w:rPr>
          <w:rFonts w:ascii="Calibri" w:cs="Calibri" w:eastAsia="Calibri" w:hAnsi="Calibri"/>
          <w:b/>
          <w:bCs/>
          <w:color w:val="0C2712"/>
          <w:sz w:val="22"/>
          <w:szCs w:val="22"/>
        </w:rPr>
        <w:t xml:space="preserve">Five gates. </w:t>
      </w:r>
      <w:r>
        <w:rPr>
          <w:rFonts w:ascii="Calibri" w:cs="Calibri" w:eastAsia="Calibri" w:hAnsi="Calibri"/>
          <w:sz w:val="22"/>
          <w:szCs w:val="22"/>
        </w:rPr>
        <w:t xml:space="preserve">Each gate leaves a record that an auditor can sample.</w:t>
      </w:r>
    </w:p>
    <w:p>
      <w:pPr>
        <w:spacing w:after="80" w:line="288"/>
        <w:ind w:left="360"/>
      </w:pPr>
      <w:r>
        <w:rPr>
          <w:rFonts w:ascii="Calibri" w:cs="Calibri" w:eastAsia="Calibri" w:hAnsi="Calibri"/>
        </w:rPr>
        <w:t xml:space="preserve"/>
      </w:r>
      <w:r>
        <w:rPr>
          <w:rFonts w:ascii="Calibri" w:cs="Calibri" w:eastAsia="Calibri" w:hAnsi="Calibri"/>
          <w:b/>
          <w:bCs/>
          <w:color w:val="0C2712"/>
          <w:sz w:val="22"/>
          <w:szCs w:val="22"/>
        </w:rPr>
        <w:t xml:space="preserve">Gate A, before day one.</w:t>
      </w:r>
      <w:r>
        <w:rPr>
          <w:rFonts w:ascii="Calibri" w:cs="Calibri" w:eastAsia="Calibri" w:hAnsi="Calibri"/>
        </w:rPr>
        <w:t xml:space="preserve"> </w:t>
      </w:r>
      <w:r>
        <w:rPr>
          <w:rFonts w:ascii="Calibri" w:cs="Calibri" w:eastAsia="Calibri" w:hAnsi="Calibri"/>
          <w:sz w:val="22"/>
          <w:szCs w:val="22"/>
        </w:rPr>
        <w:t xml:space="preserve">The access approver confirms the identity check, signed agreements, issued device and the end date in writing from the staffing partner.</w:t>
      </w:r>
    </w:p>
    <w:p>
      <w:pPr>
        <w:spacing w:after="80" w:line="288"/>
        <w:ind w:left="360"/>
      </w:pPr>
      <w:r>
        <w:rPr>
          <w:rFonts w:ascii="Calibri" w:cs="Calibri" w:eastAsia="Calibri" w:hAnsi="Calibri"/>
        </w:rPr>
        <w:t xml:space="preserve"/>
      </w:r>
      <w:r>
        <w:rPr>
          <w:rFonts w:ascii="Calibri" w:cs="Calibri" w:eastAsia="Calibri" w:hAnsi="Calibri"/>
          <w:b/>
          <w:bCs/>
          <w:color w:val="0C2712"/>
          <w:sz w:val="22"/>
          <w:szCs w:val="22"/>
        </w:rPr>
        <w:t xml:space="preserve">Gate B, end of week one.</w:t>
      </w:r>
      <w:r>
        <w:rPr>
          <w:rFonts w:ascii="Calibri" w:cs="Calibri" w:eastAsia="Calibri" w:hAnsi="Calibri"/>
        </w:rPr>
        <w:t xml:space="preserve"> </w:t>
      </w:r>
      <w:r>
        <w:rPr>
          <w:rFonts w:ascii="Calibri" w:cs="Calibri" w:eastAsia="Calibri" w:hAnsi="Calibri"/>
          <w:sz w:val="22"/>
          <w:szCs w:val="22"/>
        </w:rPr>
        <w:t xml:space="preserve">The second reviewer reads the contractor's pull requests and compares access used with access granted. Anything unused comes off.</w:t>
      </w:r>
    </w:p>
    <w:p>
      <w:pPr>
        <w:spacing w:after="80" w:line="288"/>
        <w:ind w:left="360"/>
      </w:pPr>
      <w:r>
        <w:rPr>
          <w:rFonts w:ascii="Calibri" w:cs="Calibri" w:eastAsia="Calibri" w:hAnsi="Calibri"/>
        </w:rPr>
        <w:t xml:space="preserve"/>
      </w:r>
      <w:r>
        <w:rPr>
          <w:rFonts w:ascii="Calibri" w:cs="Calibri" w:eastAsia="Calibri" w:hAnsi="Calibri"/>
          <w:b/>
          <w:bCs/>
          <w:color w:val="0C2712"/>
          <w:sz w:val="22"/>
          <w:szCs w:val="22"/>
        </w:rPr>
        <w:t xml:space="preserve">Gate C, day 30.</w:t>
      </w:r>
      <w:r>
        <w:rPr>
          <w:rFonts w:ascii="Calibri" w:cs="Calibri" w:eastAsia="Calibri" w:hAnsi="Calibri"/>
        </w:rPr>
        <w:t xml:space="preserve"> </w:t>
      </w:r>
      <w:r>
        <w:rPr>
          <w:rFonts w:ascii="Calibri" w:cs="Calibri" w:eastAsia="Calibri" w:hAnsi="Calibri"/>
          <w:sz w:val="22"/>
          <w:szCs w:val="22"/>
        </w:rPr>
        <w:t xml:space="preserve">The second reviewer and the access approver decide in writing whether the contractor moves to tier 3. Silence means they stay at tier 2.</w:t>
      </w:r>
    </w:p>
    <w:p>
      <w:pPr>
        <w:spacing w:after="80" w:line="288"/>
        <w:ind w:left="360"/>
      </w:pPr>
      <w:r>
        <w:rPr>
          <w:rFonts w:ascii="Calibri" w:cs="Calibri" w:eastAsia="Calibri" w:hAnsi="Calibri"/>
        </w:rPr>
        <w:t xml:space="preserve"/>
      </w:r>
      <w:r>
        <w:rPr>
          <w:rFonts w:ascii="Calibri" w:cs="Calibri" w:eastAsia="Calibri" w:hAnsi="Calibri"/>
          <w:b/>
          <w:bCs/>
          <w:color w:val="0C2712"/>
          <w:sz w:val="22"/>
          <w:szCs w:val="22"/>
        </w:rPr>
        <w:t xml:space="preserve">Gate D, every </w:t>
      </w:r>
      <w:r>
        <w:rPr>
          <w:rFonts w:ascii="Calibri" w:cs="Calibri" w:eastAsia="Calibri" w:hAnsi="Calibri"/>
          <w:b/>
          <w:bCs/>
          <w:color w:val="0C2712"/>
          <w:sz w:val="22"/>
          <w:szCs w:val="22"/>
          <w:shd w:fill="DCEBD8" w:color="auto" w:val="clear"/>
        </w:rPr>
        <w:t xml:space="preserve">[month]</w:t>
      </w:r>
      <w:r>
        <w:rPr>
          <w:rFonts w:ascii="Calibri" w:cs="Calibri" w:eastAsia="Calibri" w:hAnsi="Calibri"/>
          <w:b/>
          <w:bCs/>
          <w:color w:val="0C2712"/>
          <w:sz w:val="22"/>
          <w:szCs w:val="22"/>
        </w:rPr>
        <w:t xml:space="preserve">.</w:t>
      </w:r>
      <w:r>
        <w:rPr>
          <w:rFonts w:ascii="Calibri" w:cs="Calibri" w:eastAsia="Calibri" w:hAnsi="Calibri"/>
        </w:rPr>
        <w:t xml:space="preserve"> </w:t>
      </w:r>
      <w:r>
        <w:rPr>
          <w:rFonts w:ascii="Calibri" w:cs="Calibri" w:eastAsia="Calibri" w:hAnsi="Calibri"/>
          <w:sz w:val="22"/>
          <w:szCs w:val="22"/>
        </w:rPr>
        <w:t xml:space="preserve">The policy owner lists every contractor account in </w:t>
      </w:r>
      <w:r>
        <w:rPr>
          <w:rFonts w:ascii="Calibri" w:cs="Calibri" w:eastAsia="Calibri" w:hAnsi="Calibri"/>
          <w:color w:val="0C2712"/>
          <w:sz w:val="22"/>
          <w:szCs w:val="22"/>
          <w:shd w:fill="DCEBD8" w:color="auto" w:val="clear"/>
        </w:rPr>
        <w:t xml:space="preserve">[the identity provider]</w:t>
      </w:r>
      <w:r>
        <w:rPr>
          <w:rFonts w:ascii="Calibri" w:cs="Calibri" w:eastAsia="Calibri" w:hAnsi="Calibri"/>
          <w:sz w:val="22"/>
          <w:szCs w:val="22"/>
        </w:rPr>
        <w:t xml:space="preserve"> and matches each one to a live engagement and end date. An account with no match is disabled the same day.</w:t>
      </w:r>
    </w:p>
    <w:p>
      <w:pPr>
        <w:spacing w:after="80" w:line="288"/>
        <w:ind w:left="360"/>
      </w:pPr>
      <w:r>
        <w:rPr>
          <w:rFonts w:ascii="Calibri" w:cs="Calibri" w:eastAsia="Calibri" w:hAnsi="Calibri"/>
        </w:rPr>
        <w:t xml:space="preserve"/>
      </w:r>
      <w:r>
        <w:rPr>
          <w:rFonts w:ascii="Calibri" w:cs="Calibri" w:eastAsia="Calibri" w:hAnsi="Calibri"/>
          <w:b/>
          <w:bCs/>
          <w:color w:val="0C2712"/>
          <w:sz w:val="22"/>
          <w:szCs w:val="22"/>
        </w:rPr>
        <w:t xml:space="preserve">Gate E, on any change.</w:t>
      </w:r>
      <w:r>
        <w:rPr>
          <w:rFonts w:ascii="Calibri" w:cs="Calibri" w:eastAsia="Calibri" w:hAnsi="Calibri"/>
        </w:rPr>
        <w:t xml:space="preserve"> </w:t>
      </w:r>
      <w:r>
        <w:rPr>
          <w:rFonts w:ascii="Calibri" w:cs="Calibri" w:eastAsia="Calibri" w:hAnsi="Calibri"/>
          <w:sz w:val="22"/>
          <w:szCs w:val="22"/>
        </w:rPr>
        <w:t xml:space="preserve">An extension, a new system or a new team restarts the clock for that access. The ticket changes before the access does.</w:t>
      </w:r>
    </w:p>
    <w:p>
      <w:pPr>
        <w:keepNext w:val="false"/>
        <w:spacing w:after="120" w:line="288"/>
      </w:pPr>
      <w:r>
        <w:rPr>
          <w:rFonts w:ascii="Calibri" w:cs="Calibri" w:eastAsia="Calibri" w:hAnsi="Calibri"/>
          <w:b/>
          <w:bCs/>
          <w:color w:val="53655A"/>
          <w:sz w:val="22"/>
          <w:szCs w:val="22"/>
        </w:rPr>
        <w:t xml:space="preserve">5.2  </w:t>
      </w:r>
      <w:r>
        <w:rPr>
          <w:rFonts w:ascii="Calibri" w:cs="Calibri" w:eastAsia="Calibri" w:hAnsi="Calibri"/>
          <w:b/>
          <w:bCs/>
          <w:color w:val="0C2712"/>
          <w:sz w:val="22"/>
          <w:szCs w:val="22"/>
        </w:rPr>
        <w:t xml:space="preserve">Protected branches. </w:t>
      </w:r>
      <w:r>
        <w:rPr>
          <w:rFonts w:ascii="Calibri" w:cs="Calibri" w:eastAsia="Calibri" w:hAnsi="Calibri"/>
          <w:sz w:val="22"/>
          <w:szCs w:val="22"/>
        </w:rPr>
        <w:t xml:space="preserve">Contractors do not merge to protected branches. An employee reviews and merges every contractor pull request.</w:t>
      </w:r>
    </w:p>
    <w:p>
      <w:pPr>
        <w:pStyle w:val="Heading1"/>
        <w:keepNext/>
        <w:spacing w:after="60" w:before="320"/>
      </w:pPr>
      <w:r>
        <w:rPr>
          <w:rFonts w:ascii="Calibri" w:cs="Calibri" w:eastAsia="Calibri" w:hAnsi="Calibri"/>
          <w:b/>
          <w:bCs/>
          <w:color w:val="0C2712"/>
          <w:sz w:val="30"/>
          <w:szCs w:val="30"/>
        </w:rPr>
        <w:t xml:space="preserve">6. Revocation deadline and offboarding</w:t>
      </w:r>
    </w:p>
    <w:p>
      <w:pPr>
        <w:keepNext/>
        <w:pBdr>
          <w:bottom w:val="single" w:color="0C2712" w:sz="6"/>
        </w:pBdr>
        <w:spacing w:after="140"/>
      </w:pPr>
      <w:r>
        <w:rPr>
          <w:rFonts w:ascii="Calibri" w:cs="Calibri" w:eastAsia="Calibri" w:hAnsi="Calibri"/>
          <w:i/>
          <w:iCs/>
          <w:color w:val="53655A"/>
          <w:sz w:val="18"/>
          <w:szCs w:val="18"/>
        </w:rPr>
        <w:t xml:space="preserve">Maps to SOC 2 CC6.2 and CC6.3. GLBA 314.4(c)(1)</w:t>
      </w:r>
    </w:p>
    <w:p>
      <w:pPr>
        <w:keepNext w:val="false"/>
        <w:spacing w:after="120" w:line="288"/>
      </w:pPr>
      <w:r>
        <w:rPr>
          <w:rFonts w:ascii="Calibri" w:cs="Calibri" w:eastAsia="Calibri" w:hAnsi="Calibri"/>
          <w:b/>
          <w:bCs/>
          <w:color w:val="53655A"/>
          <w:sz w:val="22"/>
          <w:szCs w:val="22"/>
        </w:rPr>
        <w:t xml:space="preserve">6.1  </w:t>
      </w:r>
      <w:r>
        <w:rPr>
          <w:rFonts w:ascii="Calibri" w:cs="Calibri" w:eastAsia="Calibri" w:hAnsi="Calibri"/>
          <w:b/>
          <w:bCs/>
          <w:color w:val="0C2712"/>
          <w:sz w:val="22"/>
          <w:szCs w:val="22"/>
        </w:rPr>
        <w:t xml:space="preserve">The deadline. </w:t>
      </w:r>
      <w:r>
        <w:rPr>
          <w:rFonts w:ascii="Calibri" w:cs="Calibri" w:eastAsia="Calibri" w:hAnsi="Calibri"/>
          <w:sz w:val="22"/>
          <w:szCs w:val="22"/>
        </w:rPr>
        <w:t xml:space="preserve">Access ends at the time written on the request ticket, which is the end time on the end date, not the end of the day after. If the date moves, the ticket changes first. If a contractor leaves early or for cause, access ends during that conversation and no later than </w:t>
      </w:r>
      <w:r>
        <w:rPr>
          <w:rFonts w:ascii="Calibri" w:cs="Calibri" w:eastAsia="Calibri" w:hAnsi="Calibri"/>
          <w:color w:val="0C2712"/>
          <w:sz w:val="22"/>
          <w:szCs w:val="22"/>
          <w:shd w:fill="DCEBD8" w:color="auto" w:val="clear"/>
        </w:rPr>
        <w:t xml:space="preserve">[one hour]</w:t>
      </w:r>
      <w:r>
        <w:rPr>
          <w:rFonts w:ascii="Calibri" w:cs="Calibri" w:eastAsia="Calibri" w:hAnsi="Calibri"/>
          <w:sz w:val="22"/>
          <w:szCs w:val="22"/>
        </w:rPr>
        <w:t xml:space="preserve"> after it. No grace period.</w:t>
      </w:r>
    </w:p>
    <w:p>
      <w:pPr>
        <w:keepNext w:val="false"/>
        <w:spacing w:after="120" w:line="288"/>
      </w:pPr>
      <w:r>
        <w:rPr>
          <w:rFonts w:ascii="Calibri" w:cs="Calibri" w:eastAsia="Calibri" w:hAnsi="Calibri"/>
          <w:b/>
          <w:bCs/>
          <w:color w:val="53655A"/>
          <w:sz w:val="22"/>
          <w:szCs w:val="22"/>
        </w:rPr>
        <w:t xml:space="preserve">6.2  </w:t>
      </w:r>
      <w:r>
        <w:rPr>
          <w:rFonts w:ascii="Calibri" w:cs="Calibri" w:eastAsia="Calibri" w:hAnsi="Calibri"/>
          <w:b/>
          <w:bCs/>
          <w:color w:val="0C2712"/>
          <w:sz w:val="22"/>
          <w:szCs w:val="22"/>
        </w:rPr>
        <w:t xml:space="preserve">The order. </w:t>
      </w:r>
      <w:r>
        <w:rPr>
          <w:rFonts w:ascii="Calibri" w:cs="Calibri" w:eastAsia="Calibri" w:hAnsi="Calibri"/>
          <w:sz w:val="22"/>
          <w:szCs w:val="22"/>
        </w:rPr>
        <w:t xml:space="preserve">Disable the account and revoke its sessions in the same step, then remove the person by hand from everything that is not connected to automatic deprovisioning, such as the source control organization and cloud IAM users. Revoke the tokens and keys they created. Rotate every shared secret they could read within </w:t>
      </w:r>
      <w:r>
        <w:rPr>
          <w:rFonts w:ascii="Calibri" w:cs="Calibri" w:eastAsia="Calibri" w:hAnsi="Calibri"/>
          <w:color w:val="0C2712"/>
          <w:sz w:val="22"/>
          <w:szCs w:val="22"/>
          <w:shd w:fill="DCEBD8" w:color="auto" w:val="clear"/>
        </w:rPr>
        <w:t xml:space="preserve">[five]</w:t>
      </w:r>
      <w:r>
        <w:rPr>
          <w:rFonts w:ascii="Calibri" w:cs="Calibri" w:eastAsia="Calibri" w:hAnsi="Calibri"/>
          <w:sz w:val="22"/>
          <w:szCs w:val="22"/>
        </w:rPr>
        <w:t xml:space="preserve"> business days. Recover the device. Transfer what the account owns. Delete the account after </w:t>
      </w:r>
      <w:r>
        <w:rPr>
          <w:rFonts w:ascii="Calibri" w:cs="Calibri" w:eastAsia="Calibri" w:hAnsi="Calibri"/>
          <w:color w:val="0C2712"/>
          <w:sz w:val="22"/>
          <w:szCs w:val="22"/>
          <w:shd w:fill="DCEBD8" w:color="auto" w:val="clear"/>
        </w:rPr>
        <w:t xml:space="preserve">[30]</w:t>
      </w:r>
      <w:r>
        <w:rPr>
          <w:rFonts w:ascii="Calibri" w:cs="Calibri" w:eastAsia="Calibri" w:hAnsi="Calibri"/>
          <w:sz w:val="22"/>
          <w:szCs w:val="22"/>
        </w:rPr>
        <w:t xml:space="preserve"> to </w:t>
      </w:r>
      <w:r>
        <w:rPr>
          <w:rFonts w:ascii="Calibri" w:cs="Calibri" w:eastAsia="Calibri" w:hAnsi="Calibri"/>
          <w:color w:val="0C2712"/>
          <w:sz w:val="22"/>
          <w:szCs w:val="22"/>
          <w:shd w:fill="DCEBD8" w:color="auto" w:val="clear"/>
        </w:rPr>
        <w:t xml:space="preserve">[90]</w:t>
      </w:r>
      <w:r>
        <w:rPr>
          <w:rFonts w:ascii="Calibri" w:cs="Calibri" w:eastAsia="Calibri" w:hAnsi="Calibri"/>
          <w:sz w:val="22"/>
          <w:szCs w:val="22"/>
        </w:rPr>
        <w:t xml:space="preserve"> days.</w:t>
      </w:r>
    </w:p>
    <w:p>
      <w:pPr>
        <w:keepNext w:val="false"/>
        <w:spacing w:after="120" w:line="288"/>
      </w:pPr>
      <w:r>
        <w:rPr>
          <w:rFonts w:ascii="Calibri" w:cs="Calibri" w:eastAsia="Calibri" w:hAnsi="Calibri"/>
          <w:b/>
          <w:bCs/>
          <w:color w:val="53655A"/>
          <w:sz w:val="22"/>
          <w:szCs w:val="22"/>
        </w:rPr>
        <w:t xml:space="preserve">6.3  </w:t>
      </w:r>
      <w:r>
        <w:rPr>
          <w:rFonts w:ascii="Calibri" w:cs="Calibri" w:eastAsia="Calibri" w:hAnsi="Calibri"/>
          <w:b/>
          <w:bCs/>
          <w:color w:val="0C2712"/>
          <w:sz w:val="22"/>
          <w:szCs w:val="22"/>
        </w:rPr>
        <w:t xml:space="preserve">Evidence kept. </w:t>
      </w:r>
      <w:r>
        <w:rPr>
          <w:rFonts w:ascii="Calibri" w:cs="Calibri" w:eastAsia="Calibri" w:hAnsi="Calibri"/>
          <w:sz w:val="22"/>
          <w:szCs w:val="22"/>
        </w:rPr>
        <w:t xml:space="preserve">The closed ticket with timestamps, the identity provider deprovisioning log, an export of repository and cloud permissions taken after removal, the device return record, and a signed return-or-destroy certification for any code or data.</w:t>
      </w:r>
    </w:p>
    <w:p>
      <w:pPr>
        <w:keepNext w:val="false"/>
        <w:spacing w:after="120" w:line="288"/>
      </w:pPr>
      <w:r>
        <w:rPr>
          <w:rFonts w:ascii="Calibri" w:cs="Calibri" w:eastAsia="Calibri" w:hAnsi="Calibri"/>
          <w:b/>
          <w:bCs/>
          <w:color w:val="53655A"/>
          <w:sz w:val="22"/>
          <w:szCs w:val="22"/>
        </w:rPr>
        <w:t xml:space="preserve">6.4  </w:t>
      </w:r>
      <w:r>
        <w:rPr>
          <w:rFonts w:ascii="Calibri" w:cs="Calibri" w:eastAsia="Calibri" w:hAnsi="Calibri"/>
          <w:b/>
          <w:bCs/>
          <w:color w:val="0C2712"/>
          <w:sz w:val="22"/>
          <w:szCs w:val="22"/>
        </w:rPr>
        <w:t xml:space="preserve">Notice. </w:t>
      </w:r>
      <w:r>
        <w:rPr>
          <w:rFonts w:ascii="Calibri" w:cs="Calibri" w:eastAsia="Calibri" w:hAnsi="Calibri"/>
          <w:sz w:val="22"/>
          <w:szCs w:val="22"/>
        </w:rPr>
        <w:t xml:space="preserve">The staffing partner sends the end date, and any change to it, to </w:t>
      </w:r>
      <w:r>
        <w:rPr>
          <w:rFonts w:ascii="Calibri" w:cs="Calibri" w:eastAsia="Calibri" w:hAnsi="Calibri"/>
          <w:color w:val="0C2712"/>
          <w:sz w:val="22"/>
          <w:szCs w:val="22"/>
          <w:shd w:fill="DCEBD8" w:color="auto" w:val="clear"/>
        </w:rPr>
        <w:t xml:space="preserve">[access owner mailbox]</w:t>
      </w:r>
      <w:r>
        <w:rPr>
          <w:rFonts w:ascii="Calibri" w:cs="Calibri" w:eastAsia="Calibri" w:hAnsi="Calibri"/>
          <w:sz w:val="22"/>
          <w:szCs w:val="22"/>
        </w:rPr>
        <w:t xml:space="preserve"> the day it is known.</w:t>
      </w:r>
    </w:p>
    <w:p>
      <w:pPr>
        <w:keepNext w:val="false"/>
        <w:spacing w:after="120" w:line="288"/>
      </w:pPr>
      <w:r>
        <w:rPr>
          <w:rFonts w:ascii="Calibri" w:cs="Calibri" w:eastAsia="Calibri" w:hAnsi="Calibri"/>
          <w:b/>
          <w:bCs/>
          <w:color w:val="53655A"/>
          <w:sz w:val="22"/>
          <w:szCs w:val="22"/>
        </w:rPr>
        <w:t xml:space="preserve">6.5  </w:t>
      </w:r>
      <w:r>
        <w:rPr>
          <w:rFonts w:ascii="Calibri" w:cs="Calibri" w:eastAsia="Calibri" w:hAnsi="Calibri"/>
          <w:b/>
          <w:bCs/>
          <w:color w:val="0C2712"/>
          <w:sz w:val="22"/>
          <w:szCs w:val="22"/>
        </w:rPr>
        <w:t xml:space="preserve">The orphan check. </w:t>
      </w:r>
      <w:r>
        <w:rPr>
          <w:rFonts w:ascii="Calibri" w:cs="Calibri" w:eastAsia="Calibri" w:hAnsi="Calibri"/>
          <w:sz w:val="22"/>
          <w:szCs w:val="22"/>
        </w:rPr>
        <w:t xml:space="preserve">Thirty days after exit, list every account, token and key named for the contractor. Anything still live goes to the policy owner.</w:t>
      </w:r>
    </w:p>
    <w:p>
      <w:pPr>
        <w:pStyle w:val="Heading1"/>
        <w:keepNext/>
        <w:spacing w:after="120" w:before="320"/>
      </w:pPr>
      <w:r>
        <w:rPr>
          <w:rFonts w:ascii="Calibri" w:cs="Calibri" w:eastAsia="Calibri" w:hAnsi="Calibri"/>
          <w:b/>
          <w:bCs/>
          <w:color w:val="0C2712"/>
          <w:sz w:val="30"/>
          <w:szCs w:val="30"/>
        </w:rPr>
        <w:t xml:space="preserve">Approval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rPr>
          <w:cantSplit/>
        </w:trPr>
        <w:tc>
          <w:tcPr>
            <w:tcW w:type="dxa" w:w="2200"/>
            <w:tcBorders>
              <w:top w:val="single" w:color="B9CAD3" w:sz="4"/>
              <w:left w:val="single" w:color="B9CAD3" w:sz="4"/>
              <w:bottom w:val="single" w:color="B9CAD3" w:sz="4"/>
              <w:right w:val="single" w:color="B9CAD3" w:sz="4"/>
            </w:tcBorders>
            <w:shd w:fill="EDF2F5" w:color="auto" w:val="clear"/>
            <w:tcMar>
              <w:top w:type="dxa" w:w="80"/>
              <w:left w:type="dxa" w:w="110"/>
              <w:bottom w:type="dxa" w:w="80"/>
              <w:right w:type="dxa" w:w="110"/>
            </w:tcMar>
          </w:tcPr>
          <w:p>
            <w:r>
              <w:rPr>
                <w:rFonts w:ascii="Calibri" w:cs="Calibri" w:eastAsia="Calibri" w:hAnsi="Calibri"/>
                <w:b/>
                <w:bCs/>
                <w:color w:val="0C2712"/>
                <w:sz w:val="20"/>
                <w:szCs w:val="20"/>
              </w:rPr>
              <w:t xml:space="preserve">Approved by</w:t>
            </w:r>
          </w:p>
        </w:tc>
        <w:tc>
          <w:tcPr>
            <w:tcW w:type="dxa" w:w="7160"/>
            <w:tcBorders>
              <w:top w:val="single" w:color="B9CAD3" w:sz="4"/>
              <w:left w:val="single" w:color="B9CAD3" w:sz="4"/>
              <w:bottom w:val="single" w:color="B9CAD3" w:sz="4"/>
              <w:right w:val="single" w:color="B9CAD3" w:sz="4"/>
            </w:tcBorders>
            <w:tcMar>
              <w:top w:type="dxa" w:w="80"/>
              <w:left w:type="dxa" w:w="110"/>
              <w:bottom w:type="dxa" w:w="80"/>
              <w:right w:type="dxa" w:w="110"/>
            </w:tcMar>
          </w:tcPr>
          <w:p>
            <w:r>
              <w:rPr>
                <w:rFonts w:ascii="Calibri" w:cs="Calibri" w:eastAsia="Calibri" w:hAnsi="Calibri"/>
                <w:color w:val="0C2712"/>
                <w:sz w:val="22"/>
                <w:szCs w:val="22"/>
                <w:shd w:fill="DCEBD8" w:color="auto" w:val="clear"/>
              </w:rPr>
              <w:t xml:space="preserve">[Policy owner name]</w:t>
            </w:r>
            <w:r>
              <w:rPr>
                <w:rFonts w:ascii="Calibri" w:cs="Calibri" w:eastAsia="Calibri" w:hAnsi="Calibri"/>
                <w:sz w:val="22"/>
                <w:szCs w:val="22"/>
              </w:rPr>
              <w:t xml:space="preserve">, </w:t>
            </w:r>
            <w:r>
              <w:rPr>
                <w:rFonts w:ascii="Calibri" w:cs="Calibri" w:eastAsia="Calibri" w:hAnsi="Calibri"/>
                <w:color w:val="0C2712"/>
                <w:sz w:val="22"/>
                <w:szCs w:val="22"/>
                <w:shd w:fill="DCEBD8" w:color="auto" w:val="clear"/>
              </w:rPr>
              <w:t xml:space="preserve">[title]</w:t>
            </w:r>
            <w:r>
              <w:rPr>
                <w:rFonts w:ascii="Calibri" w:cs="Calibri" w:eastAsia="Calibri" w:hAnsi="Calibri"/>
                <w:sz w:val="22"/>
                <w:szCs w:val="22"/>
              </w:rPr>
              <w:t xml:space="preserve">, </w:t>
            </w:r>
            <w:r>
              <w:rPr>
                <w:rFonts w:ascii="Calibri" w:cs="Calibri" w:eastAsia="Calibri" w:hAnsi="Calibri"/>
                <w:color w:val="0C2712"/>
                <w:sz w:val="22"/>
                <w:szCs w:val="22"/>
                <w:shd w:fill="DCEBD8" w:color="auto" w:val="clear"/>
              </w:rPr>
              <w:t xml:space="preserve">[date]</w:t>
            </w:r>
          </w:p>
        </w:tc>
      </w:tr>
      <w:tr>
        <w:trPr>
          <w:cantSplit/>
        </w:trPr>
        <w:tc>
          <w:tcPr>
            <w:tcW w:type="dxa" w:w="2200"/>
            <w:tcBorders>
              <w:top w:val="single" w:color="B9CAD3" w:sz="4"/>
              <w:left w:val="single" w:color="B9CAD3" w:sz="4"/>
              <w:bottom w:val="single" w:color="B9CAD3" w:sz="4"/>
              <w:right w:val="single" w:color="B9CAD3" w:sz="4"/>
            </w:tcBorders>
            <w:shd w:fill="EDF2F5" w:color="auto" w:val="clear"/>
            <w:tcMar>
              <w:top w:type="dxa" w:w="80"/>
              <w:left w:type="dxa" w:w="110"/>
              <w:bottom w:type="dxa" w:w="80"/>
              <w:right w:type="dxa" w:w="110"/>
            </w:tcMar>
          </w:tcPr>
          <w:p>
            <w:r>
              <w:rPr>
                <w:rFonts w:ascii="Calibri" w:cs="Calibri" w:eastAsia="Calibri" w:hAnsi="Calibri"/>
                <w:b/>
                <w:bCs/>
                <w:color w:val="0C2712"/>
                <w:sz w:val="20"/>
                <w:szCs w:val="20"/>
              </w:rPr>
              <w:t xml:space="preserve">Reviewed by</w:t>
            </w:r>
          </w:p>
        </w:tc>
        <w:tc>
          <w:tcPr>
            <w:tcW w:type="dxa" w:w="7160"/>
            <w:tcBorders>
              <w:top w:val="single" w:color="B9CAD3" w:sz="4"/>
              <w:left w:val="single" w:color="B9CAD3" w:sz="4"/>
              <w:bottom w:val="single" w:color="B9CAD3" w:sz="4"/>
              <w:right w:val="single" w:color="B9CAD3" w:sz="4"/>
            </w:tcBorders>
            <w:tcMar>
              <w:top w:type="dxa" w:w="80"/>
              <w:left w:type="dxa" w:w="110"/>
              <w:bottom w:type="dxa" w:w="80"/>
              <w:right w:type="dxa" w:w="110"/>
            </w:tcMar>
          </w:tcPr>
          <w:p>
            <w:r>
              <w:rPr>
                <w:rFonts w:ascii="Calibri" w:cs="Calibri" w:eastAsia="Calibri" w:hAnsi="Calibri"/>
                <w:color w:val="0C2712"/>
                <w:sz w:val="22"/>
                <w:szCs w:val="22"/>
                <w:shd w:fill="DCEBD8" w:color="auto" w:val="clear"/>
              </w:rPr>
              <w:t xml:space="preserve">[Second reviewer name]</w:t>
            </w:r>
            <w:r>
              <w:rPr>
                <w:rFonts w:ascii="Calibri" w:cs="Calibri" w:eastAsia="Calibri" w:hAnsi="Calibri"/>
                <w:sz w:val="22"/>
                <w:szCs w:val="22"/>
              </w:rPr>
              <w:t xml:space="preserve">, </w:t>
            </w:r>
            <w:r>
              <w:rPr>
                <w:rFonts w:ascii="Calibri" w:cs="Calibri" w:eastAsia="Calibri" w:hAnsi="Calibri"/>
                <w:color w:val="0C2712"/>
                <w:sz w:val="22"/>
                <w:szCs w:val="22"/>
                <w:shd w:fill="DCEBD8" w:color="auto" w:val="clear"/>
              </w:rPr>
              <w:t xml:space="preserve">[date]</w:t>
            </w:r>
          </w:p>
        </w:tc>
      </w:tr>
      <w:tr>
        <w:trPr>
          <w:cantSplit/>
        </w:trPr>
        <w:tc>
          <w:tcPr>
            <w:tcW w:type="dxa" w:w="2200"/>
            <w:tcBorders>
              <w:top w:val="single" w:color="B9CAD3" w:sz="4"/>
              <w:left w:val="single" w:color="B9CAD3" w:sz="4"/>
              <w:bottom w:val="single" w:color="B9CAD3" w:sz="4"/>
              <w:right w:val="single" w:color="B9CAD3" w:sz="4"/>
            </w:tcBorders>
            <w:shd w:fill="EDF2F5" w:color="auto" w:val="clear"/>
            <w:tcMar>
              <w:top w:type="dxa" w:w="80"/>
              <w:left w:type="dxa" w:w="110"/>
              <w:bottom w:type="dxa" w:w="80"/>
              <w:right w:type="dxa" w:w="110"/>
            </w:tcMar>
          </w:tcPr>
          <w:p>
            <w:r>
              <w:rPr>
                <w:rFonts w:ascii="Calibri" w:cs="Calibri" w:eastAsia="Calibri" w:hAnsi="Calibri"/>
                <w:b/>
                <w:bCs/>
                <w:color w:val="0C2712"/>
                <w:sz w:val="20"/>
                <w:szCs w:val="20"/>
              </w:rPr>
              <w:t xml:space="preserve">Next review</w:t>
            </w:r>
          </w:p>
        </w:tc>
        <w:tc>
          <w:tcPr>
            <w:tcW w:type="dxa" w:w="7160"/>
            <w:tcBorders>
              <w:top w:val="single" w:color="B9CAD3" w:sz="4"/>
              <w:left w:val="single" w:color="B9CAD3" w:sz="4"/>
              <w:bottom w:val="single" w:color="B9CAD3" w:sz="4"/>
              <w:right w:val="single" w:color="B9CAD3" w:sz="4"/>
            </w:tcBorders>
            <w:tcMar>
              <w:top w:type="dxa" w:w="80"/>
              <w:left w:type="dxa" w:w="110"/>
              <w:bottom w:type="dxa" w:w="80"/>
              <w:right w:type="dxa" w:w="110"/>
            </w:tcMar>
          </w:tcPr>
          <w:p>
            <w:r>
              <w:rPr>
                <w:rFonts w:ascii="Calibri" w:cs="Calibri" w:eastAsia="Calibri" w:hAnsi="Calibri"/>
                <w:color w:val="0C2712"/>
                <w:sz w:val="22"/>
                <w:szCs w:val="22"/>
                <w:shd w:fill="DCEBD8" w:color="auto" w:val="clear"/>
              </w:rPr>
              <w:t xml:space="preserve">[date six months out]</w:t>
            </w:r>
          </w:p>
        </w:tc>
      </w:tr>
    </w:tbl>
    <w:p>
      <w:pPr>
        <w:spacing w:after="200"/>
      </w:pPr>
    </w:p>
    <w:p>
      <w:pPr>
        <w:spacing w:after="80"/>
      </w:pPr>
      <w:r>
        <w:rPr>
          <w:rFonts w:ascii="Calibri" w:cs="Calibri" w:eastAsia="Calibri" w:hAnsi="Calibri"/>
          <w:i/>
          <w:iCs/>
          <w:color w:val="53655A"/>
          <w:sz w:val="18"/>
          <w:szCs w:val="18"/>
        </w:rPr>
        <w:t xml:space="preserve">A policy template, not legal advice. Have counsel and your auditor read it once for your regime before you adopt it. The control references are our reading of SOC 2 CC6 and 16 CFR 314.4, so check them against the current text.</w:t>
      </w:r>
    </w:p>
    <w:p>
      <w:pPr>
        <w:spacing w:after="0"/>
      </w:pPr>
      <w:r>
        <w:rPr>
          <w:rFonts w:ascii="Calibri" w:cs="Calibri" w:eastAsia="Calibri" w:hAnsi="Calibri"/>
          <w:color w:val="53655A"/>
          <w:sz w:val="18"/>
          <w:szCs w:val="18"/>
        </w:rPr>
        <w:t xml:space="preserve">The full last-day order of operations is in the contractor access offboarding checklist at kore1.com/contractor-access-offboarding-checklist/. Template written by Kris Drouet in partnership with KORE1. Version October 2026, review every six months.</w:t>
      </w:r>
    </w:p>
    <w:sectPr>
      <w:headerReference w:type="default" r:id="rId7"/>
      <w:footerReference w:type="default" r:id="rId8"/>
      <w:pgSz w:w="12240" w:h="15840" w:orient="portrait"/>
      <w:pgMar w:top="1300" w:right="1440" w:bottom="12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pPr>
    <w:r>
      <w:rPr>
        <w:rFonts w:ascii="Calibri" w:cs="Calibri" w:eastAsia="Calibri" w:hAnsi="Calibri"/>
        <w:color w:val="53655A"/>
        <w:sz w:val="16"/>
        <w:szCs w:val="16"/>
      </w:rPr>
      <w:t xml:space="preserve">kore1.com/contractor-access-policy-template/</w:t>
    </w:r>
    <w:r>
      <w:rPr>
        <w:rFonts w:ascii="Calibri" w:cs="Calibri" w:eastAsia="Calibri" w:hAnsi="Calibri"/>
        <w:color w:val="53655A"/>
        <w:sz w:val="16"/>
        <w:szCs w:val="16"/>
      </w:rPr>
      <w:t xml:space="preserve">	Page </w:t>
    </w:r>
    <w:r>
      <w:rPr>
        <w:rFonts w:ascii="Calibri" w:cs="Calibri" w:eastAsia="Calibri" w:hAnsi="Calibri"/>
        <w:color w:val="53655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C2712" w:sz="8"/>
      </w:pBdr>
      <w:spacing w:after="120"/>
    </w:pPr>
    <w:r>
      <w:rPr>
        <w:rFonts w:ascii="Calibri" w:cs="Calibri" w:eastAsia="Calibri" w:hAnsi="Calibri"/>
        <w:b/>
        <w:bCs/>
        <w:color w:val="F48830"/>
        <w:sz w:val="18"/>
        <w:szCs w:val="18"/>
      </w:rPr>
      <w:t xml:space="preserve">KORE1</w:t>
    </w:r>
    <w:r>
      <w:rPr>
        <w:rFonts w:ascii="Calibri" w:cs="Calibri" w:eastAsia="Calibri" w:hAnsi="Calibri"/>
        <w:color w:val="53655A"/>
        <w:sz w:val="18"/>
        <w:szCs w:val="18"/>
      </w:rPr>
      <w:t xml:space="preserve">   Contractor Access Policy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60" w:before="320"/>
      <w:outlineLvl w:val="0"/>
    </w:pPr>
    <w:rPr>
      <w:rFonts w:ascii="Calibri" w:cs="Calibri" w:eastAsia="Calibri" w:hAnsi="Calibri"/>
      <w:b/>
      <w:bCs/>
      <w:color w:val="0C2712"/>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Contractor Access Policy Template for Regulated Codebases</dc:title>
  <dc:creator>KORE1</dc:creator>
  <dc:description>Contractor access policy template. Access tiers by week, production data rules, MFA and device requirements, review gates and a revocation deadline.</dc:description>
  <cp:lastModifiedBy>Un-named</cp:lastModifiedBy>
  <cp:revision>1</cp:revision>
  <dcterms:created xsi:type="dcterms:W3CDTF">2026-10-20T14:01:47.566Z</dcterms:created>
  <dcterms:modified xsi:type="dcterms:W3CDTF">2026-10-20T14:01:47.567Z</dcterms:modified>
</cp:coreProperties>
</file>

<file path=docProps/custom.xml><?xml version="1.0" encoding="utf-8"?>
<Properties xmlns="http://schemas.openxmlformats.org/officeDocument/2006/custom-properties" xmlns:vt="http://schemas.openxmlformats.org/officeDocument/2006/docPropsVTypes"/>
</file>