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380A35"/>
          <w:sz w:val="38"/>
        </w:rPr>
        <w:t>Data Contractor Scope of Work</w:t>
      </w:r>
    </w:p>
    <w:p>
      <w:pPr>
        <w:spacing w:after="100" w:before="0"/>
      </w:pPr>
      <w:r>
        <w:rPr>
          <w:b w:val="0"/>
          <w:i w:val="0"/>
          <w:color w:val="6E5A6B"/>
          <w:sz w:val="19"/>
        </w:rPr>
        <w:t>One page. Fill in the shaded fields. Seven fields, in this order.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600"/>
            <w:tcBorders>
              <w:bottom w:val="single" w:sz="6" w:space="0" w:color="380A35"/>
              <w:top w:val="single" w:sz="6" w:space="0" w:color="380A35"/>
            </w:tcBorders>
            <w:tcMar>
              <w:top w:w="40" w:type="dxa"/>
              <w:left w:w="80" w:type="dxa"/>
              <w:bottom w:w="40" w:type="dxa"/>
              <w:right w:w="80" w:type="dxa"/>
            </w:tcMar>
            <w:shd w:val="clear" w:color="auto" w:fill="EFEAB8"/>
          </w:tcPr>
          <w:p>
            <w:r>
              <w:rPr>
                <w:b w:val="0"/>
                <w:i w:val="0"/>
                <w:color w:val="6E5A6B"/>
                <w:sz w:val="16"/>
              </w:rPr>
              <w:t>Role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380A35"/>
              </w:rPr>
              <w:t xml:space="preserve"> </w:t>
            </w:r>
          </w:p>
        </w:tc>
        <w:tc>
          <w:tcPr>
            <w:tcW w:type="dxa" w:w="3312"/>
            <w:tcBorders>
              <w:bottom w:val="single" w:sz="6" w:space="0" w:color="380A35"/>
              <w:top w:val="single" w:sz="6" w:space="0" w:color="380A35"/>
            </w:tcBorders>
            <w:tcMar>
              <w:top w:w="40" w:type="dxa"/>
              <w:left w:w="80" w:type="dxa"/>
              <w:bottom w:w="40" w:type="dxa"/>
              <w:right w:w="80" w:type="dxa"/>
            </w:tcMar>
            <w:shd w:val="clear" w:color="auto" w:fill="EFEAB8"/>
          </w:tcPr>
          <w:p>
            <w:r>
              <w:rPr>
                <w:b w:val="0"/>
                <w:i w:val="0"/>
                <w:color w:val="6E5A6B"/>
                <w:sz w:val="16"/>
              </w:rPr>
              <w:t>Starts on Monday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380A35"/>
              </w:rPr>
              <w:t xml:space="preserve"> </w:t>
            </w:r>
          </w:p>
        </w:tc>
        <w:tc>
          <w:tcPr>
            <w:tcW w:type="dxa" w:w="3312"/>
            <w:tcBorders>
              <w:bottom w:val="single" w:sz="6" w:space="0" w:color="380A35"/>
              <w:top w:val="single" w:sz="6" w:space="0" w:color="380A35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r>
              <w:rPr>
                <w:b w:val="0"/>
                <w:i w:val="0"/>
                <w:color w:val="6E5A6B"/>
                <w:sz w:val="16"/>
              </w:rPr>
              <w:t>Billing</w:t>
            </w:r>
          </w:p>
          <w:p>
            <w:pPr>
              <w:spacing w:after="0" w:before="0"/>
            </w:pPr>
            <w:r>
              <w:rPr>
                <w:b/>
                <w:i w:val="0"/>
                <w:color w:val="380A35"/>
              </w:rPr>
              <w:t>Hourly. Your manager directs the work.</w:t>
            </w:r>
          </w:p>
        </w:tc>
      </w:tr>
    </w:tbl>
    <w:p>
      <w:pPr>
        <w:spacing w:after="6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1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Source systems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List every system, file or feed the contractor will read, with a letter, an owner and how often it refreshes.</w:t>
            </w:r>
          </w:p>
          <w:p>
            <w:pPr>
              <w:spacing w:after="40" w:before="0"/>
            </w:pPr>
            <w:r>
              <w:rPr>
                <w:b/>
                <w:i w:val="0"/>
                <w:color w:val="380A35"/>
              </w:rPr>
              <w:t xml:space="preserve">A  </w:t>
            </w:r>
            <w:r>
              <w:rPr>
                <w:b w:val="0"/>
                <w:i w:val="0"/>
                <w:color w:val="6E5A6B"/>
                <w:sz w:val="18"/>
              </w:rPr>
              <w:t>System, owner, how often it refreshes ______________________</w:t>
            </w:r>
          </w:p>
          <w:p>
            <w:pPr>
              <w:spacing w:after="40" w:before="0"/>
            </w:pPr>
            <w:r>
              <w:rPr>
                <w:b/>
                <w:i w:val="0"/>
                <w:color w:val="380A35"/>
              </w:rPr>
              <w:t xml:space="preserve">B  </w:t>
            </w:r>
            <w:r>
              <w:rPr>
                <w:b w:val="0"/>
                <w:i w:val="0"/>
                <w:color w:val="6E5A6B"/>
                <w:sz w:val="18"/>
              </w:rPr>
              <w:t>System, owner, how often it refreshes ______________________</w:t>
            </w:r>
          </w:p>
          <w:p>
            <w:pPr>
              <w:spacing w:after="40" w:before="0"/>
            </w:pPr>
            <w:r>
              <w:rPr>
                <w:b/>
                <w:i w:val="0"/>
                <w:color w:val="380A35"/>
              </w:rPr>
              <w:t xml:space="preserve">C  </w:t>
            </w:r>
            <w:r>
              <w:rPr>
                <w:b w:val="0"/>
                <w:i w:val="0"/>
                <w:color w:val="6E5A6B"/>
                <w:sz w:val="18"/>
              </w:rPr>
              <w:t>System, owner, how often it refreshes ______________________</w:t>
            </w:r>
          </w:p>
        </w:tc>
      </w:tr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2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Reconciliation target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Name the one record each output has to match, and say who keeps it.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6E5A6B"/>
              </w:rPr>
              <w:t>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3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Deliverables at weeks 2, 6 and 12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Write one thing you can open or run for each checkpoint, with the number it should match.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1704"/>
              <w:gridCol w:w="1704"/>
              <w:gridCol w:w="1704"/>
            </w:tblGrid>
            <w:tr>
              <w:tc>
                <w:tcPr>
                  <w:tcW w:type="dxa" w:w="1512"/>
                  <w:shd w:val="clear" w:color="auto" w:fill="F4E7F1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>
                  <w:r>
                    <w:rPr>
                      <w:b/>
                      <w:i w:val="0"/>
                      <w:color w:val="380A35"/>
                      <w:sz w:val="17"/>
                    </w:rPr>
                    <w:t>Checkpoint</w:t>
                  </w:r>
                </w:p>
              </w:tc>
              <w:tc>
                <w:tcPr>
                  <w:tcW w:type="dxa" w:w="3456"/>
                  <w:shd w:val="clear" w:color="auto" w:fill="F4E7F1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>
                  <w:r>
                    <w:rPr>
                      <w:b/>
                      <w:i w:val="0"/>
                      <w:color w:val="380A35"/>
                      <w:sz w:val="17"/>
                    </w:rPr>
                    <w:t>Deliverable you can open or run</w:t>
                  </w:r>
                </w:p>
              </w:tc>
              <w:tc>
                <w:tcPr>
                  <w:tcW w:type="dxa" w:w="3528"/>
                  <w:shd w:val="clear" w:color="auto" w:fill="F4E7F1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>
                  <w:r>
                    <w:rPr>
                      <w:b/>
                      <w:i w:val="0"/>
                      <w:color w:val="380A35"/>
                      <w:sz w:val="17"/>
                    </w:rPr>
                    <w:t>How it is checked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12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>
                  <w:r>
                    <w:rPr>
                      <w:b/>
                      <w:i w:val="0"/>
                      <w:color w:val="380A35"/>
                    </w:rPr>
                    <w:t>Week 2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E5A6B"/>
                      <w:sz w:val="17"/>
                    </w:rPr>
                    <w:t>Friday, ____________</w:t>
                  </w:r>
                </w:p>
              </w:tc>
              <w:tc>
                <w:tcPr>
                  <w:tcW w:type="dxa" w:w="3456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shd w:val="clear" w:color="auto" w:fill="EFEAB8"/>
                </w:tcPr>
                <w:p/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</w:rPr>
                    <w:t xml:space="preserve"> </w:t>
                  </w:r>
                </w:p>
              </w:tc>
              <w:tc>
                <w:tcPr>
                  <w:tcW w:type="dxa" w:w="3528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shd w:val="clear" w:color="auto" w:fill="EFEAB8"/>
                </w:tcPr>
                <w:p/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</w:rPr>
                    <w:t xml:space="preserve">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12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>
                  <w:r>
                    <w:rPr>
                      <w:b/>
                      <w:i w:val="0"/>
                      <w:color w:val="380A35"/>
                    </w:rPr>
                    <w:t>Week 6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E5A6B"/>
                      <w:sz w:val="17"/>
                    </w:rPr>
                    <w:t>Friday, ____________</w:t>
                  </w:r>
                </w:p>
              </w:tc>
              <w:tc>
                <w:tcPr>
                  <w:tcW w:type="dxa" w:w="3456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shd w:val="clear" w:color="auto" w:fill="EFEAB8"/>
                </w:tcPr>
                <w:p/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</w:rPr>
                    <w:t xml:space="preserve"> </w:t>
                  </w:r>
                </w:p>
              </w:tc>
              <w:tc>
                <w:tcPr>
                  <w:tcW w:type="dxa" w:w="3528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shd w:val="clear" w:color="auto" w:fill="EFEAB8"/>
                </w:tcPr>
                <w:p/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</w:rPr>
                    <w:t xml:space="preserve">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12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>
                  <w:r>
                    <w:rPr>
                      <w:b/>
                      <w:i w:val="0"/>
                      <w:color w:val="380A35"/>
                    </w:rPr>
                    <w:t>Week 12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E5A6B"/>
                      <w:sz w:val="17"/>
                    </w:rPr>
                    <w:t>Friday, ____________</w:t>
                  </w:r>
                </w:p>
              </w:tc>
              <w:tc>
                <w:tcPr>
                  <w:tcW w:type="dxa" w:w="3456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shd w:val="clear" w:color="auto" w:fill="EFEAB8"/>
                </w:tcPr>
                <w:p/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</w:rPr>
                    <w:t xml:space="preserve"> </w:t>
                  </w:r>
                </w:p>
              </w:tc>
              <w:tc>
                <w:tcPr>
                  <w:tcW w:type="dxa" w:w="3528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shd w:val="clear" w:color="auto" w:fill="EFEAB8"/>
                </w:tcPr>
                <w:p/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</w:rPr>
                    <w:t xml:space="preserve"> 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4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Data access tier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Pick the lowest tier that lets week 2 happen and write down who can raise it.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  <w:sz w:val="22"/>
              </w:rPr>
              <w:t xml:space="preserve">☐ </w:t>
            </w:r>
            <w:r>
              <w:rPr>
                <w:b/>
                <w:i w:val="0"/>
                <w:color w:val="380A35"/>
              </w:rPr>
              <w:t xml:space="preserve">Tier 0, documents only. </w:t>
            </w:r>
            <w:r>
              <w:rPr>
                <w:b w:val="0"/>
                <w:i w:val="0"/>
                <w:sz w:val="18"/>
              </w:rPr>
              <w:t>Data dictionaries, diagrams and tickets. No data.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  <w:sz w:val="22"/>
              </w:rPr>
              <w:t xml:space="preserve">☐ </w:t>
            </w:r>
            <w:r>
              <w:rPr>
                <w:b/>
                <w:i w:val="0"/>
                <w:color w:val="380A35"/>
              </w:rPr>
              <w:t xml:space="preserve">Tier 1, masked copy. </w:t>
            </w:r>
            <w:r>
              <w:rPr>
                <w:b w:val="0"/>
                <w:i w:val="0"/>
                <w:sz w:val="18"/>
              </w:rPr>
              <w:t>Sample or masked data in a non-production copy.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  <w:sz w:val="22"/>
              </w:rPr>
              <w:t xml:space="preserve">☐ </w:t>
            </w:r>
            <w:r>
              <w:rPr>
                <w:b/>
                <w:i w:val="0"/>
                <w:color w:val="380A35"/>
              </w:rPr>
              <w:t xml:space="preserve">Tier 2, read only. </w:t>
            </w:r>
            <w:r>
              <w:rPr>
                <w:b w:val="0"/>
                <w:i w:val="0"/>
                <w:sz w:val="18"/>
              </w:rPr>
              <w:t>Read access to production or a replica. No writes.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  <w:sz w:val="22"/>
              </w:rPr>
              <w:t xml:space="preserve">☐ </w:t>
            </w:r>
            <w:r>
              <w:rPr>
                <w:b/>
                <w:i w:val="0"/>
                <w:color w:val="380A35"/>
              </w:rPr>
              <w:t xml:space="preserve">Tier 3, sandbox write. </w:t>
            </w:r>
            <w:r>
              <w:rPr>
                <w:b w:val="0"/>
                <w:i w:val="0"/>
                <w:sz w:val="18"/>
              </w:rPr>
              <w:t>Write access to a sandbox or staging schema. Production releases stay with your employees.</w:t>
            </w:r>
          </w:p>
          <w:p>
            <w:pPr>
              <w:spacing w:after="0" w:before="20"/>
            </w:pPr>
            <w:r>
              <w:rPr>
                <w:b w:val="0"/>
                <w:i w:val="0"/>
                <w:color w:val="6E5A6B"/>
                <w:sz w:val="17"/>
              </w:rPr>
              <w:t>Only the sign-off owner raises a tier, and the change is written down.</w:t>
            </w:r>
          </w:p>
        </w:tc>
      </w:tr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5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Sign-off owner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Put one name on the checkpoints.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6E5A6B"/>
                <w:sz w:val="18"/>
              </w:rPr>
              <w:t xml:space="preserve">Role  </w:t>
            </w:r>
            <w:r>
              <w:rPr>
                <w:b w:val="0"/>
                <w:i w:val="0"/>
                <w:color w:val="380A35"/>
              </w:rPr>
              <w:t>______________________________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E5A6B"/>
                <w:sz w:val="18"/>
              </w:rPr>
              <w:t xml:space="preserve">Name  </w:t>
            </w:r>
            <w:r>
              <w:rPr>
                <w:b w:val="0"/>
                <w:i w:val="0"/>
                <w:color w:val="380A35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6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Weekly hours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Set the hours a week the work needs, and bill them by the hour.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</w:rPr>
              <w:t>______ hours a week  x  ______ weeks  =  ______ hours</w:t>
            </w:r>
          </w:p>
        </w:tc>
      </w:tr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7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End date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Count twelve weeks from the start and write down the Friday it ends on.</w:t>
            </w:r>
          </w:p>
          <w:p>
            <w:pPr>
              <w:spacing w:after="0" w:before="0"/>
            </w:pPr>
            <w:r>
              <w:rPr>
                <w:b/>
                <w:i w:val="0"/>
                <w:color w:val="380A35"/>
                <w:sz w:val="20"/>
              </w:rPr>
              <w:t>Friday, ______________________</w:t>
            </w:r>
          </w:p>
        </w:tc>
      </w:tr>
    </w:tbl>
    <w:p>
      <w:pPr>
        <w:spacing w:after="0" w:before="100"/>
      </w:pPr>
      <w:r>
        <w:rPr>
          <w:b/>
          <w:i w:val="0"/>
          <w:color w:val="380A35"/>
        </w:rPr>
        <w:t xml:space="preserve">Handoff, written on day one.  </w:t>
      </w:r>
      <w:r>
        <w:rPr>
          <w:b w:val="0"/>
          <w:i w:val="0"/>
          <w:color w:val="6E5A6B"/>
          <w:sz w:val="17"/>
        </w:rPr>
        <w:t>Where the code lives ____________   The run book ____________   Who owns it next ____________   The date access ends ____________</w:t>
      </w:r>
    </w:p>
    <w:p>
      <w:pPr>
        <w:spacing w:after="0" w:before="60"/>
      </w:pPr>
      <w:r>
        <w:rPr>
          <w:b w:val="0"/>
          <w:i w:val="0"/>
          <w:color w:val="6E5A6B"/>
          <w:sz w:val="15"/>
        </w:rPr>
        <w:t>A staffing scope for hourly work, not a priced statement of work. KORE1 Data Contractor Scope of Work Template, www.kore1.com/data-contractor-scope-template/</w:t>
      </w:r>
    </w:p>
    <w:p>
      <w:r>
        <w:br w:type="page"/>
      </w:r>
    </w:p>
    <w:p>
      <w:pPr>
        <w:spacing w:after="0" w:before="0"/>
      </w:pPr>
      <w:r>
        <w:rPr>
          <w:b/>
          <w:i w:val="0"/>
          <w:color w:val="380A35"/>
          <w:sz w:val="38"/>
        </w:rPr>
        <w:t>Sample, filled in</w:t>
      </w:r>
    </w:p>
    <w:p>
      <w:pPr>
        <w:spacing w:after="100" w:before="0"/>
      </w:pPr>
      <w:r>
        <w:rPr>
          <w:b w:val="0"/>
          <w:i w:val="0"/>
          <w:color w:val="6E5A6B"/>
          <w:sz w:val="19"/>
        </w:rPr>
        <w:t>A mid-level data engineer at a private credit fund, invented for illustration. Shaded text is a value you replace.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600"/>
            <w:tcBorders>
              <w:bottom w:val="single" w:sz="6" w:space="0" w:color="380A35"/>
              <w:top w:val="single" w:sz="6" w:space="0" w:color="380A35"/>
            </w:tcBorders>
            <w:tcMar>
              <w:top w:w="40" w:type="dxa"/>
              <w:left w:w="80" w:type="dxa"/>
              <w:bottom w:w="40" w:type="dxa"/>
              <w:right w:w="80" w:type="dxa"/>
            </w:tcMar>
            <w:shd w:val="clear" w:color="auto" w:fill="EFEAB8"/>
          </w:tcPr>
          <w:p>
            <w:r>
              <w:rPr>
                <w:b w:val="0"/>
                <w:i w:val="0"/>
                <w:color w:val="6E5A6B"/>
                <w:sz w:val="16"/>
              </w:rPr>
              <w:t>Role</w:t>
            </w:r>
          </w:p>
          <w:p>
            <w:pPr>
              <w:spacing w:after="0" w:before="0"/>
            </w:pPr>
            <w:r>
              <w:rPr>
                <w:b/>
                <w:i w:val="0"/>
                <w:color w:val="380A35"/>
              </w:rPr>
              <w:t>Mid-level data engineer for a private credit fund</w:t>
            </w:r>
          </w:p>
        </w:tc>
        <w:tc>
          <w:tcPr>
            <w:tcW w:type="dxa" w:w="3312"/>
            <w:tcBorders>
              <w:bottom w:val="single" w:sz="6" w:space="0" w:color="380A35"/>
              <w:top w:val="single" w:sz="6" w:space="0" w:color="380A35"/>
            </w:tcBorders>
            <w:tcMar>
              <w:top w:w="40" w:type="dxa"/>
              <w:left w:w="80" w:type="dxa"/>
              <w:bottom w:w="40" w:type="dxa"/>
              <w:right w:w="80" w:type="dxa"/>
            </w:tcMar>
            <w:shd w:val="clear" w:color="auto" w:fill="EFEAB8"/>
          </w:tcPr>
          <w:p>
            <w:r>
              <w:rPr>
                <w:b w:val="0"/>
                <w:i w:val="0"/>
                <w:color w:val="6E5A6B"/>
                <w:sz w:val="16"/>
              </w:rPr>
              <w:t>Starts on Monday</w:t>
            </w:r>
          </w:p>
          <w:p>
            <w:pPr>
              <w:spacing w:after="0" w:before="0"/>
            </w:pPr>
            <w:r>
              <w:rPr>
                <w:b/>
                <w:i w:val="0"/>
                <w:color w:val="380A35"/>
              </w:rPr>
              <w:t>Monday, November 9, 2026</w:t>
            </w:r>
          </w:p>
        </w:tc>
        <w:tc>
          <w:tcPr>
            <w:tcW w:type="dxa" w:w="3312"/>
            <w:tcBorders>
              <w:bottom w:val="single" w:sz="6" w:space="0" w:color="380A35"/>
              <w:top w:val="single" w:sz="6" w:space="0" w:color="380A35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r>
              <w:rPr>
                <w:b w:val="0"/>
                <w:i w:val="0"/>
                <w:color w:val="6E5A6B"/>
                <w:sz w:val="16"/>
              </w:rPr>
              <w:t>Billing</w:t>
            </w:r>
          </w:p>
          <w:p>
            <w:pPr>
              <w:spacing w:after="0" w:before="0"/>
            </w:pPr>
            <w:r>
              <w:rPr>
                <w:b/>
                <w:i w:val="0"/>
                <w:color w:val="380A35"/>
              </w:rPr>
              <w:t>Hourly. Your manager directs the work.</w:t>
            </w:r>
          </w:p>
        </w:tc>
      </w:tr>
    </w:tbl>
    <w:p>
      <w:pPr>
        <w:spacing w:after="6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1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Source systems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List every system, file or feed the contractor will read, with a letter, an owner and how often it refreshes.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</w:rPr>
              <w:t xml:space="preserve">A  </w:t>
            </w:r>
            <w:r>
              <w:rPr>
                <w:b/>
                <w:i w:val="0"/>
                <w:color w:val="380A35"/>
              </w:rPr>
              <w:t>Loan servicing system</w:t>
            </w:r>
            <w:r>
              <w:rPr>
                <w:b w:val="0"/>
                <w:i w:val="0"/>
                <w:color w:val="6E5A6B"/>
                <w:sz w:val="18"/>
              </w:rPr>
              <w:t xml:space="preserve">  Monthly loan tape, read only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</w:rPr>
              <w:t xml:space="preserve">B  </w:t>
            </w:r>
            <w:r>
              <w:rPr>
                <w:b/>
                <w:i w:val="0"/>
                <w:color w:val="380A35"/>
              </w:rPr>
              <w:t>General ledger</w:t>
            </w:r>
            <w:r>
              <w:rPr>
                <w:b w:val="0"/>
                <w:i w:val="0"/>
                <w:color w:val="6E5A6B"/>
                <w:sz w:val="18"/>
              </w:rPr>
              <w:t xml:space="preserve">  Trial balance by facility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</w:rPr>
              <w:t xml:space="preserve">C  </w:t>
            </w:r>
            <w:r>
              <w:rPr>
                <w:b/>
                <w:i w:val="0"/>
                <w:color w:val="380A35"/>
              </w:rPr>
              <w:t>Bank and custodian statements</w:t>
            </w:r>
            <w:r>
              <w:rPr>
                <w:b w:val="0"/>
                <w:i w:val="0"/>
                <w:color w:val="6E5A6B"/>
                <w:sz w:val="18"/>
              </w:rPr>
              <w:t xml:space="preserve">  Cash by account, file drop</w:t>
            </w:r>
          </w:p>
        </w:tc>
      </w:tr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2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Reconciliation target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Name the one record each output has to match, and say who keeps it.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</w:rPr>
              <w:t>Loans receivable on the month-end trial balance, by facility</w:t>
            </w:r>
          </w:p>
          <w:p>
            <w:pPr>
              <w:spacing w:after="0" w:before="0"/>
            </w:pPr>
            <w:r>
              <w:rPr>
                <w:b w:val="0"/>
                <w:i w:val="0"/>
              </w:rPr>
              <w:t>Every loan tape total ties to it, or the break is listed with a reason.</w:t>
            </w:r>
          </w:p>
        </w:tc>
      </w:tr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3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Deliverables at weeks 2, 6 and 12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Write one thing you can open or run for each checkpoint, with the number it should match.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1704"/>
              <w:gridCol w:w="1704"/>
              <w:gridCol w:w="1704"/>
            </w:tblGrid>
            <w:tr>
              <w:tc>
                <w:tcPr>
                  <w:tcW w:type="dxa" w:w="1512"/>
                  <w:shd w:val="clear" w:color="auto" w:fill="F4E7F1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>
                  <w:r>
                    <w:rPr>
                      <w:b/>
                      <w:i w:val="0"/>
                      <w:color w:val="380A35"/>
                      <w:sz w:val="17"/>
                    </w:rPr>
                    <w:t>Checkpoint</w:t>
                  </w:r>
                </w:p>
              </w:tc>
              <w:tc>
                <w:tcPr>
                  <w:tcW w:type="dxa" w:w="3456"/>
                  <w:shd w:val="clear" w:color="auto" w:fill="F4E7F1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>
                  <w:r>
                    <w:rPr>
                      <w:b/>
                      <w:i w:val="0"/>
                      <w:color w:val="380A35"/>
                      <w:sz w:val="17"/>
                    </w:rPr>
                    <w:t>Deliverable you can open or run</w:t>
                  </w:r>
                </w:p>
              </w:tc>
              <w:tc>
                <w:tcPr>
                  <w:tcW w:type="dxa" w:w="3528"/>
                  <w:shd w:val="clear" w:color="auto" w:fill="F4E7F1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>
                  <w:r>
                    <w:rPr>
                      <w:b/>
                      <w:i w:val="0"/>
                      <w:color w:val="380A35"/>
                      <w:sz w:val="17"/>
                    </w:rPr>
                    <w:t>How it is checked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12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>
                  <w:r>
                    <w:rPr>
                      <w:b/>
                      <w:i w:val="0"/>
                      <w:color w:val="380A35"/>
                    </w:rPr>
                    <w:t>Week 2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E5A6B"/>
                      <w:sz w:val="17"/>
                    </w:rPr>
                    <w:t>Friday, November 20</w:t>
                  </w:r>
                </w:p>
              </w:tc>
              <w:tc>
                <w:tcPr>
                  <w:tcW w:type="dxa" w:w="3456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shd w:val="clear" w:color="auto" w:fill="EFEAB8"/>
                </w:tcPr>
                <w:p>
                  <w:r>
                    <w:rPr>
                      <w:b/>
                      <w:i w:val="0"/>
                      <w:color w:val="380A35"/>
                    </w:rPr>
                    <w:t>Source inventory and field map</w:t>
                  </w:r>
                </w:p>
              </w:tc>
              <w:tc>
                <w:tcPr>
                  <w:tcW w:type="dxa" w:w="3528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shd w:val="clear" w:color="auto" w:fill="EFEAB8"/>
                </w:tcPr>
                <w:p>
                  <w:r>
                    <w:rPr>
                      <w:b w:val="0"/>
                      <w:i w:val="0"/>
                      <w:sz w:val="18"/>
                    </w:rPr>
                    <w:t>Every table and file listed with its owner and refresh time, and the first tape loaded to staging with row counts that match the source.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12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>
                  <w:r>
                    <w:rPr>
                      <w:b/>
                      <w:i w:val="0"/>
                      <w:color w:val="380A35"/>
                    </w:rPr>
                    <w:t>Week 6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E5A6B"/>
                      <w:sz w:val="17"/>
                    </w:rPr>
                    <w:t>Friday, December 18</w:t>
                  </w:r>
                </w:p>
              </w:tc>
              <w:tc>
                <w:tcPr>
                  <w:tcW w:type="dxa" w:w="3456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shd w:val="clear" w:color="auto" w:fill="EFEAB8"/>
                </w:tcPr>
                <w:p>
                  <w:r>
                    <w:rPr>
                      <w:b/>
                      <w:i w:val="0"/>
                      <w:color w:val="380A35"/>
                    </w:rPr>
                    <w:t>Working reconciliation</w:t>
                  </w:r>
                </w:p>
              </w:tc>
              <w:tc>
                <w:tcPr>
                  <w:tcW w:type="dxa" w:w="3528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shd w:val="clear" w:color="auto" w:fill="EFEAB8"/>
                </w:tcPr>
                <w:p>
                  <w:r>
                    <w:rPr>
                      <w:b w:val="0"/>
                      <w:i w:val="0"/>
                      <w:sz w:val="18"/>
                    </w:rPr>
                    <w:t>Tape, ledger and cash load every night, and the report ties the tape to the ledger by facility with each break over your tolerance explained.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12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>
                  <w:r>
                    <w:rPr>
                      <w:b/>
                      <w:i w:val="0"/>
                      <w:color w:val="380A35"/>
                    </w:rPr>
                    <w:t>Week 12</w:t>
                  </w:r>
                </w:p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E5A6B"/>
                      <w:sz w:val="17"/>
                    </w:rPr>
                    <w:t>Friday, January 29</w:t>
                  </w:r>
                </w:p>
              </w:tc>
              <w:tc>
                <w:tcPr>
                  <w:tcW w:type="dxa" w:w="3456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shd w:val="clear" w:color="auto" w:fill="EFEAB8"/>
                </w:tcPr>
                <w:p>
                  <w:r>
                    <w:rPr>
                      <w:b/>
                      <w:i w:val="0"/>
                      <w:color w:val="380A35"/>
                    </w:rPr>
                    <w:t>Handoff you can run without the contractor</w:t>
                  </w:r>
                </w:p>
              </w:tc>
              <w:tc>
                <w:tcPr>
                  <w:tcW w:type="dxa" w:w="3528"/>
                  <w:tcBorders>
                    <w:top w:val="single" w:sz="6" w:space="0" w:color="380A35"/>
                    <w:left w:val="single" w:sz="6" w:space="0" w:color="380A35"/>
                    <w:bottom w:val="single" w:sz="6" w:space="0" w:color="380A35"/>
                    <w:right w:val="single" w:sz="6" w:space="0" w:color="380A35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shd w:val="clear" w:color="auto" w:fill="EFEAB8"/>
                </w:tcPr>
                <w:p>
                  <w:r>
                    <w:rPr>
                      <w:b w:val="0"/>
                      <w:i w:val="0"/>
                      <w:sz w:val="18"/>
                    </w:rPr>
                    <w:t>A scheduled run, tests, and a run book that one of your employees follows alone for a month-end.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4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Data access tier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Pick the lowest tier that lets week 2 happen and write down who can raise it.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  <w:sz w:val="22"/>
              </w:rPr>
              <w:t xml:space="preserve">☐ </w:t>
            </w:r>
            <w:r>
              <w:rPr>
                <w:b/>
                <w:i w:val="0"/>
                <w:color w:val="380A35"/>
              </w:rPr>
              <w:t xml:space="preserve">Tier 0, documents only. </w:t>
            </w:r>
            <w:r>
              <w:rPr>
                <w:b w:val="0"/>
                <w:i w:val="0"/>
                <w:sz w:val="18"/>
              </w:rPr>
              <w:t>Data dictionaries, diagrams and tickets. No data.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  <w:sz w:val="22"/>
              </w:rPr>
              <w:t xml:space="preserve">☐ </w:t>
            </w:r>
            <w:r>
              <w:rPr>
                <w:b/>
                <w:i w:val="0"/>
                <w:color w:val="380A35"/>
              </w:rPr>
              <w:t xml:space="preserve">Tier 1, masked copy. </w:t>
            </w:r>
            <w:r>
              <w:rPr>
                <w:b w:val="0"/>
                <w:i w:val="0"/>
                <w:sz w:val="18"/>
              </w:rPr>
              <w:t>Sample or masked data in a non-production copy.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  <w:sz w:val="22"/>
              </w:rPr>
              <w:t xml:space="preserve">☐ </w:t>
            </w:r>
            <w:r>
              <w:rPr>
                <w:b/>
                <w:i w:val="0"/>
                <w:color w:val="380A35"/>
              </w:rPr>
              <w:t xml:space="preserve">Tier 2, read only. </w:t>
            </w:r>
            <w:r>
              <w:rPr>
                <w:b w:val="0"/>
                <w:i w:val="0"/>
                <w:sz w:val="18"/>
              </w:rPr>
              <w:t>Read access to production or a replica. No writes.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  <w:sz w:val="22"/>
              </w:rPr>
              <w:t xml:space="preserve">☒ </w:t>
            </w:r>
            <w:r>
              <w:rPr>
                <w:b/>
                <w:i w:val="0"/>
                <w:color w:val="380A35"/>
              </w:rPr>
              <w:t xml:space="preserve">Tier 3, sandbox write. </w:t>
            </w:r>
            <w:r>
              <w:rPr>
                <w:b w:val="0"/>
                <w:i w:val="0"/>
                <w:sz w:val="18"/>
              </w:rPr>
              <w:t>Write access to a sandbox or staging schema. Production releases stay with your employees.</w:t>
            </w:r>
          </w:p>
          <w:p>
            <w:pPr>
              <w:spacing w:after="0" w:before="20"/>
            </w:pPr>
            <w:r>
              <w:rPr>
                <w:b w:val="0"/>
                <w:i w:val="0"/>
                <w:color w:val="6E5A6B"/>
                <w:sz w:val="17"/>
              </w:rPr>
              <w:t>Only the sign-off owner raises a tier, and the change is written down.</w:t>
            </w:r>
          </w:p>
        </w:tc>
      </w:tr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5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Sign-off owner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Put one name on the checkpoints.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6E5A6B"/>
                <w:sz w:val="18"/>
              </w:rPr>
              <w:t xml:space="preserve">Role  </w:t>
            </w:r>
            <w:r>
              <w:rPr>
                <w:b/>
                <w:i w:val="0"/>
                <w:color w:val="380A35"/>
              </w:rPr>
              <w:t>Controller, fund accounting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E5A6B"/>
                <w:sz w:val="18"/>
              </w:rPr>
              <w:t xml:space="preserve">Name  </w:t>
            </w:r>
            <w:r>
              <w:rPr>
                <w:b w:val="0"/>
                <w:i w:val="0"/>
                <w:color w:val="380A35"/>
              </w:rPr>
              <w:t>Your one name</w:t>
            </w:r>
          </w:p>
        </w:tc>
      </w:tr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6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Weekly hours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Set the hours a week the work needs, and bill them by the hour.</w:t>
            </w:r>
          </w:p>
          <w:p>
            <w:pPr>
              <w:spacing w:after="20" w:before="0"/>
            </w:pPr>
            <w:r>
              <w:rPr>
                <w:b/>
                <w:i w:val="0"/>
                <w:color w:val="380A35"/>
              </w:rPr>
              <w:t>30 hours a week for 12 weeks is 360 hours.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At the modeled national bill rate for a mid-level data engineer ($98 to $122 an hour, $110 median) that is $35,280 to $43,920, or $39,600 at the median.</w:t>
            </w:r>
          </w:p>
        </w:tc>
      </w:tr>
      <w:tr>
        <w:trPr>
          <w:cantSplit/>
        </w:trPr>
        <w:tc>
          <w:tcPr>
            <w:tcW w:type="dxa" w:w="720"/>
            <w:shd w:val="clear" w:color="auto" w:fill="380A35"/>
            <w:tcMar>
              <w:top w:w="80" w:type="dxa"/>
              <w:left w:w="60" w:type="dxa"/>
              <w:bottom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8FD"/>
                <w:sz w:val="30"/>
              </w:rPr>
              <w:t>7</w:t>
            </w:r>
          </w:p>
        </w:tc>
        <w:tc>
          <w:tcPr>
            <w:tcW w:type="dxa" w:w="9504"/>
            <w:tcBorders>
              <w:top w:val="single" w:sz="8" w:space="0" w:color="380A35"/>
              <w:left w:val="single" w:sz="8" w:space="0" w:color="380A35"/>
              <w:bottom w:val="single" w:sz="8" w:space="0" w:color="380A35"/>
              <w:right w:val="single" w:sz="8" w:space="0" w:color="380A35"/>
            </w:tcBorders>
            <w:tcMar>
              <w:top w:w="60" w:type="dxa"/>
              <w:left w:w="130" w:type="dxa"/>
              <w:bottom w:w="60" w:type="dxa"/>
              <w:right w:w="110" w:type="dxa"/>
            </w:tcMar>
          </w:tcPr>
          <w:p>
            <w:r>
              <w:rPr>
                <w:b/>
                <w:i w:val="0"/>
                <w:color w:val="380A35"/>
                <w:sz w:val="22"/>
              </w:rPr>
              <w:t>End date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E5A6B"/>
                <w:sz w:val="17"/>
              </w:rPr>
              <w:t>Count twelve weeks from the start and write down the Friday it ends on.</w:t>
            </w:r>
          </w:p>
          <w:p>
            <w:pPr>
              <w:spacing w:after="0" w:before="0"/>
            </w:pPr>
            <w:r>
              <w:rPr>
                <w:b/>
                <w:i w:val="0"/>
                <w:color w:val="380A35"/>
                <w:sz w:val="22"/>
              </w:rPr>
              <w:t>Friday, January 29, 2027</w:t>
            </w:r>
          </w:p>
        </w:tc>
      </w:tr>
    </w:tbl>
    <w:p>
      <w:pPr>
        <w:spacing w:after="40" w:before="100"/>
      </w:pPr>
      <w:r>
        <w:rPr>
          <w:b/>
          <w:i w:val="0"/>
          <w:color w:val="380A35"/>
          <w:sz w:val="21"/>
        </w:rPr>
        <w:t>The Friday that closes each checkpoint, for four November starts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val="clear" w:color="auto" w:fill="F4E7F1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380A35"/>
                <w:sz w:val="17"/>
              </w:rPr>
              <w:t>Start on Monday</w:t>
            </w:r>
          </w:p>
        </w:tc>
        <w:tc>
          <w:tcPr>
            <w:tcW w:type="dxa" w:w="2592"/>
            <w:shd w:val="clear" w:color="auto" w:fill="F4E7F1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380A35"/>
                <w:sz w:val="17"/>
              </w:rPr>
              <w:t>Week 2 ends</w:t>
            </w:r>
          </w:p>
        </w:tc>
        <w:tc>
          <w:tcPr>
            <w:tcW w:type="dxa" w:w="2736"/>
            <w:shd w:val="clear" w:color="auto" w:fill="F4E7F1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380A35"/>
                <w:sz w:val="17"/>
              </w:rPr>
              <w:t>Week 6 ends</w:t>
            </w:r>
          </w:p>
        </w:tc>
        <w:tc>
          <w:tcPr>
            <w:tcW w:type="dxa" w:w="2592"/>
            <w:shd w:val="clear" w:color="auto" w:fill="F4E7F1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380A35"/>
                <w:sz w:val="17"/>
              </w:rPr>
              <w:t>Week 12 ends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380A35"/>
                <w:sz w:val="17"/>
              </w:rPr>
              <w:t>Monday, November 9</w:t>
            </w:r>
          </w:p>
        </w:tc>
        <w:tc>
          <w:tcPr>
            <w:tcW w:type="dxa" w:w="2592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 w:val="0"/>
                <w:i w:val="0"/>
                <w:color w:val="380A35"/>
                <w:sz w:val="17"/>
              </w:rPr>
              <w:t>Friday, November 20</w:t>
            </w:r>
          </w:p>
        </w:tc>
        <w:tc>
          <w:tcPr>
            <w:tcW w:type="dxa" w:w="2736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 w:val="0"/>
                <w:i w:val="0"/>
                <w:color w:val="380A35"/>
                <w:sz w:val="17"/>
              </w:rPr>
              <w:t>Friday, December 18</w:t>
            </w:r>
          </w:p>
        </w:tc>
        <w:tc>
          <w:tcPr>
            <w:tcW w:type="dxa" w:w="2592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5B104C"/>
                <w:sz w:val="17"/>
              </w:rPr>
              <w:t>Friday, January 29 2027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380A35"/>
                <w:sz w:val="17"/>
              </w:rPr>
              <w:t>Monday, November 16</w:t>
            </w:r>
          </w:p>
        </w:tc>
        <w:tc>
          <w:tcPr>
            <w:tcW w:type="dxa" w:w="2592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 w:val="0"/>
                <w:i w:val="0"/>
                <w:color w:val="380A35"/>
                <w:sz w:val="17"/>
              </w:rPr>
              <w:t>Friday, November 27 (the day after Thanksgiving)</w:t>
            </w:r>
          </w:p>
        </w:tc>
        <w:tc>
          <w:tcPr>
            <w:tcW w:type="dxa" w:w="2736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 w:val="0"/>
                <w:i w:val="0"/>
                <w:color w:val="380A35"/>
                <w:sz w:val="17"/>
              </w:rPr>
              <w:t>Friday, December 25 (Christmas Day)</w:t>
            </w:r>
          </w:p>
        </w:tc>
        <w:tc>
          <w:tcPr>
            <w:tcW w:type="dxa" w:w="2592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5B104C"/>
                <w:sz w:val="17"/>
              </w:rPr>
              <w:t>Friday, February 5 2027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380A35"/>
                <w:sz w:val="17"/>
              </w:rPr>
              <w:t>Monday, November 23</w:t>
            </w:r>
          </w:p>
        </w:tc>
        <w:tc>
          <w:tcPr>
            <w:tcW w:type="dxa" w:w="2592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 w:val="0"/>
                <w:i w:val="0"/>
                <w:color w:val="380A35"/>
                <w:sz w:val="17"/>
              </w:rPr>
              <w:t>Friday, December 4</w:t>
            </w:r>
          </w:p>
        </w:tc>
        <w:tc>
          <w:tcPr>
            <w:tcW w:type="dxa" w:w="2736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5B104C"/>
                <w:sz w:val="17"/>
              </w:rPr>
              <w:t>Friday, January 1 2027 (New Year’s Day)</w:t>
            </w:r>
          </w:p>
        </w:tc>
        <w:tc>
          <w:tcPr>
            <w:tcW w:type="dxa" w:w="2592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5B104C"/>
                <w:sz w:val="17"/>
              </w:rPr>
              <w:t>Friday, February 12 2027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380A35"/>
                <w:sz w:val="17"/>
              </w:rPr>
              <w:t>Monday, November 30</w:t>
            </w:r>
          </w:p>
        </w:tc>
        <w:tc>
          <w:tcPr>
            <w:tcW w:type="dxa" w:w="2592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 w:val="0"/>
                <w:i w:val="0"/>
                <w:color w:val="380A35"/>
                <w:sz w:val="17"/>
              </w:rPr>
              <w:t>Friday, December 11</w:t>
            </w:r>
          </w:p>
        </w:tc>
        <w:tc>
          <w:tcPr>
            <w:tcW w:type="dxa" w:w="2736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5B104C"/>
                <w:sz w:val="17"/>
              </w:rPr>
              <w:t>Friday, January 8 2027</w:t>
            </w:r>
          </w:p>
        </w:tc>
        <w:tc>
          <w:tcPr>
            <w:tcW w:type="dxa" w:w="2592"/>
            <w:tcBorders>
              <w:top w:val="single" w:sz="6" w:space="0" w:color="380A35"/>
              <w:left w:val="single" w:sz="6" w:space="0" w:color="380A35"/>
              <w:bottom w:val="single" w:sz="6" w:space="0" w:color="380A35"/>
              <w:right w:val="single" w:sz="6" w:space="0" w:color="380A35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>
            <w:r>
              <w:rPr>
                <w:b/>
                <w:i w:val="0"/>
                <w:color w:val="5B104C"/>
                <w:sz w:val="17"/>
              </w:rPr>
              <w:t>Friday, February 19 2027</w:t>
            </w:r>
          </w:p>
        </w:tc>
      </w:tr>
    </w:tbl>
    <w:p>
      <w:pPr>
        <w:spacing w:after="0" w:before="80"/>
      </w:pPr>
      <w:r>
        <w:rPr>
          <w:b w:val="0"/>
          <w:i w:val="0"/>
          <w:color w:val="6E5A6B"/>
          <w:sz w:val="16"/>
        </w:rPr>
        <w:t>Week 12 lands in 2027 for every start. Put anything that must be delivered this year at week 2 or week 6, in writing. The bill rate is a modeled cell from the KORE1 Contract Rate Index 2026-Q4, not an average of KORE1 placements. KORE1 IT contract assignments run a median of 136 days (n=410).</w:t>
      </w:r>
    </w:p>
    <w:sectPr w:rsidR="00FC693F" w:rsidRPr="0006063C" w:rsidSect="00034616">
      <w:pgSz w:w="12240" w:h="15840"/>
      <w:pgMar w:top="576" w:right="1008" w:bottom="57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Calibri" w:hAnsi="Calibri" w:eastAsia="Calibri"/>
      <w:color w:val="4A304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Contractor Scope of Work Template</dc:title>
  <dc:subject>One-page scope of work template for a contract data engineer or analyst</dc:subject>
  <dc:creator>KORE1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