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9068F"/>
          <w:sz w:val="34"/>
          <w:szCs w:val="34"/>
        </w:rPr>
        <w:t xml:space="preserve">Contract Lab and QC Staffing Request Form Template</w:t>
      </w:r>
    </w:p>
    <w:p>
      <w:pPr>
        <w:spacing w:after="90"/>
      </w:pPr>
      <w:r>
        <w:rPr>
          <w:rFonts w:ascii="Calibri" w:cs="Calibri" w:eastAsia="Calibri" w:hAnsi="Calibri"/>
          <w:color w:val="57597A"/>
          <w:sz w:val="18"/>
          <w:szCs w:val="18"/>
        </w:rPr>
        <w:t xml:space="preserve">By Dave Manchester, Scientific Recruiting, KORE1. As of October 2026. Type over the blanks and save a copy for each seat. A field marked with a filled square decides the first resume.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580"/>
      </w:tblGrid>
      <w:tr>
        <w:trPr>
          <w:tblHeader/>
        </w:trPr>
        <w:tc>
          <w:tcPr>
            <w:tcW w:type="dxa" w:w="10080"/>
            <w:gridSpan w:val="2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09068F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1. The seat  </w:t>
            </w:r>
            <w:r>
              <w:rPr>
                <w:rFonts w:ascii="Calibri" w:cs="Calibri" w:eastAsia="Calibri" w:hAnsi="Calibri"/>
                <w:color w:val="DFE0FB"/>
                <w:sz w:val="17"/>
                <w:szCs w:val="17"/>
              </w:rPr>
              <w:t xml:space="preserve">Who is this person in the words your own team uses?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Seat title and level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QC Analyst II, stability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Site and lab area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Irvine, QC stability lab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Who approves the resume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QC manager, plus one senior analyst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580"/>
      </w:tblGrid>
      <w:tr>
        <w:trPr>
          <w:tblHeader/>
        </w:trPr>
        <w:tc>
          <w:tcPr>
            <w:tcW w:type="dxa" w:w="10080"/>
            <w:gridSpan w:val="2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09068F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2. The bench  </w:t>
            </w:r>
            <w:r>
              <w:rPr>
                <w:rFonts w:ascii="Calibri" w:cs="Calibri" w:eastAsia="Calibri" w:hAnsi="Calibri"/>
                <w:color w:val="DFE0FB"/>
                <w:sz w:val="17"/>
                <w:szCs w:val="17"/>
              </w:rPr>
              <w:t xml:space="preserve">What will they run, on which instrument, in which sample?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Methods and instruments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HPLC with Empower, dissolution, Karl Fischer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Sample matrix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Finished tablets and stability pulls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/>
          <w:trHeight w:val="1100" w:hRule="atLeast"/>
        </w:trPr>
        <w:tc>
          <w:tcPr>
            <w:tcW w:type="dxa" w:w="28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Methods requested. Put an X in one box per method and replace any method you do not need.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HPLC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UPLC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LC-MS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GC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Dissolution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Karl Fischer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UV-Vis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FTIR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TOC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  <w:textDirection w:val="btL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6"/>
                <w:szCs w:val="16"/>
              </w:rPr>
              <w:t xml:space="preserve">Micro plating</w:t>
            </w:r>
          </w:p>
        </w:tc>
      </w:tr>
      <w:tr>
        <w:trPr>
          <w:cantSplit/>
          <w:trHeight w:val="340" w:hRule="atLeast"/>
        </w:trPr>
        <w:tc>
          <w:tcPr>
            <w:tcW w:type="dxa" w:w="28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7"/>
                <w:szCs w:val="17"/>
              </w:rPr>
              <w:t xml:space="preserve">Runs it alone on day one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40" w:hRule="atLeast"/>
        </w:trPr>
        <w:tc>
          <w:tcPr>
            <w:tcW w:type="dxa" w:w="28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7"/>
                <w:szCs w:val="17"/>
              </w:rPr>
              <w:t xml:space="preserve">Can learn it here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340" w:hRule="atLeast"/>
        </w:trPr>
        <w:tc>
          <w:tcPr>
            <w:tcW w:type="dxa" w:w="28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9068F"/>
                <w:sz w:val="17"/>
                <w:szCs w:val="17"/>
              </w:rPr>
              <w:t xml:space="preserve">Not on this bench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  <w:tc>
          <w:tcPr>
            <w:tcW w:type="dxa" w:w="72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580"/>
      </w:tblGrid>
      <w:tr>
        <w:trPr>
          <w:tblHeader/>
        </w:trPr>
        <w:tc>
          <w:tcPr>
            <w:tcW w:type="dxa" w:w="10080"/>
            <w:gridSpan w:val="2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09068F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3. The rules  </w:t>
            </w:r>
            <w:r>
              <w:rPr>
                <w:rFonts w:ascii="Calibri" w:cs="Calibri" w:eastAsia="Calibri" w:hAnsi="Calibri"/>
                <w:color w:val="DFE0FB"/>
                <w:sz w:val="17"/>
                <w:szCs w:val="17"/>
              </w:rPr>
              <w:t xml:space="preserve">Which rulebook applies and what must happen before bench work?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GMP or GLP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GMP, commercial release testing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Gowning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ISO 7 gowning, qualified on site before area entry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Training before bench work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SOPs read and trainer named before the first sample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580"/>
      </w:tblGrid>
      <w:tr>
        <w:trPr>
          <w:tblHeader/>
        </w:trPr>
        <w:tc>
          <w:tcPr>
            <w:tcW w:type="dxa" w:w="10080"/>
            <w:gridSpan w:val="2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09068F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4. The schedule  </w:t>
            </w:r>
            <w:r>
              <w:rPr>
                <w:rFonts w:ascii="Calibri" w:cs="Calibri" w:eastAsia="Calibri" w:hAnsi="Calibri"/>
                <w:color w:val="DFE0FB"/>
                <w:sz w:val="17"/>
                <w:szCs w:val="17"/>
              </w:rPr>
              <w:t xml:space="preserve">When do they work, when do they start and how long does it last?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Shift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Second shift, Tuesday to Saturday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■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Start date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First Monday next month, gowning slot booked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Duration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193 days, the KORE1 lab and QC median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580"/>
      </w:tblGrid>
      <w:tr>
        <w:trPr>
          <w:tblHeader/>
        </w:trPr>
        <w:tc>
          <w:tcPr>
            <w:tcW w:type="dxa" w:w="10080"/>
            <w:gridSpan w:val="2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09068F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5. The deal  </w:t>
            </w:r>
            <w:r>
              <w:rPr>
                <w:rFonts w:ascii="Calibri" w:cs="Calibri" w:eastAsia="Calibri" w:hAnsi="Calibri"/>
                <w:color w:val="DFE0FB"/>
                <w:sz w:val="17"/>
                <w:szCs w:val="17"/>
              </w:rPr>
              <w:t xml:space="preserve">What kind of seat is it and what does the budget look like?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Contract or contract-to-hire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Contract-to-hire, review at 1,040 hours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20" w:hRule="atLeast"/>
        </w:trPr>
        <w:tc>
          <w:tcPr>
            <w:tcW w:type="dxa" w:w="350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shd w:fill="EEF0F8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09068F"/>
                <w:sz w:val="20"/>
                <w:szCs w:val="20"/>
              </w:rPr>
              <w:t xml:space="preserve">□ </w:t>
            </w:r>
            <w:r>
              <w:rPr>
                <w:rFonts w:ascii="Calibri" w:cs="Calibri" w:eastAsia="Calibri" w:hAnsi="Calibri"/>
                <w:b/>
                <w:bCs/>
                <w:color w:val="09068F"/>
                <w:sz w:val="19"/>
                <w:szCs w:val="19"/>
              </w:rPr>
              <w:t xml:space="preserve">Budget reference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7597A"/>
                <w:sz w:val="15"/>
                <w:szCs w:val="15"/>
              </w:rPr>
              <w:t xml:space="preserve">Example. $33 to $56 an hour, median $40</w:t>
            </w:r>
          </w:p>
        </w:tc>
        <w:tc>
          <w:tcPr>
            <w:tcW w:type="dxa" w:w="6580"/>
            <w:tcBorders>
              <w:top w:val="single" w:color="09068F" w:sz="4"/>
              <w:left w:val="single" w:color="09068F" w:sz="4"/>
              <w:bottom w:val="single" w:color="09068F" w:sz="4"/>
              <w:right w:val="single" w:color="09068F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C2D45"/>
                <w:sz w:val="20"/>
                <w:szCs w:val="20"/>
              </w:rPr>
              <w:t xml:space="preserve"> </w:t>
            </w:r>
          </w:p>
        </w:tc>
      </w:tr>
    </w:tbl>
    <w:p>
      <w:pPr>
        <w:spacing w:after="60"/>
      </w:pPr>
    </w:p>
    <w:p>
      <w:pPr>
        <w:spacing w:after="50"/>
      </w:pPr>
      <w:r>
        <w:rPr>
          <w:rFonts w:ascii="Calibri" w:cs="Calibri" w:eastAsia="Calibri" w:hAnsi="Calibri"/>
          <w:b/>
          <w:bCs/>
          <w:color w:val="09068F"/>
          <w:sz w:val="17"/>
          <w:szCs w:val="17"/>
        </w:rPr>
        <w:t xml:space="preserve">Reference values. </w:t>
      </w:r>
      <w:r>
        <w:rPr>
          <w:rFonts w:ascii="Calibri" w:cs="Calibri" w:eastAsia="Calibri" w:hAnsi="Calibri"/>
          <w:color w:val="2C2D45"/>
          <w:sz w:val="17"/>
          <w:szCs w:val="17"/>
        </w:rPr>
        <w:t xml:space="preserve">KORE1 lab and QC contract placements, n=54, 2019 to 2026. Median assignment 193 days. Hourly bill $33 / $40 / $56 (25th percentile, median, 75th). At 40 hours a week, 3 months is $17,160 / $20,800 / $29,120 and 6 months is $34,320 / $41,600 / $58,240. A reference, not a quote. A KORE1 contractor can convert at no fee after 1,040 hours, which is 26 weeks at 40 hours a week.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09068F"/>
          <w:sz w:val="17"/>
          <w:szCs w:val="17"/>
        </w:rPr>
        <w:t xml:space="preserve">Filled it in? </w:t>
      </w:r>
      <w:r>
        <w:rPr>
          <w:rFonts w:ascii="Calibri" w:cs="Calibri" w:eastAsia="Calibri" w:hAnsi="Calibri"/>
          <w:color w:val="2C2D45"/>
          <w:sz w:val="17"/>
          <w:szCs w:val="17"/>
        </w:rPr>
        <w:t xml:space="preserve">Send it to me and I will start the search at kore1.com/staffing-solutions-contact/</w:t>
      </w:r>
    </w:p>
    <w:sectPr>
      <w:footerReference w:type="default" r:id="rId7"/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</w:pPr>
    <w:r>
      <w:rPr>
        <w:rFonts w:ascii="Calibri" w:cs="Calibri" w:eastAsia="Calibri" w:hAnsi="Calibri"/>
        <w:color w:val="57597A"/>
        <w:sz w:val="15"/>
        <w:szCs w:val="15"/>
      </w:rPr>
      <w:t xml:space="preserve">kore1.com/lab-staffing-request-template/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and QC Staffing Request Template</dc:title>
  <dc:creator>KORE1</dc:creator>
  <dc:description>One-page staffing request form for contract lab and QC seats, with KORE1 reference values.</dc:description>
  <cp:lastModifiedBy>Un-named</cp:lastModifiedBy>
  <cp:revision>1</cp:revision>
  <dcterms:created xsi:type="dcterms:W3CDTF">2026-11-01T15:47:48.365Z</dcterms:created>
  <dcterms:modified xsi:type="dcterms:W3CDTF">2026-11-01T15:47:48.365Z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